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E22" w:rsidRPr="00DE3E85" w:rsidRDefault="00101E22" w:rsidP="00101E22">
      <w:pPr>
        <w:spacing w:line="360" w:lineRule="auto"/>
        <w:rPr>
          <w:rFonts w:cstheme="minorHAnsi"/>
          <w:b/>
        </w:rPr>
      </w:pPr>
      <w:r w:rsidRPr="00DE3E85">
        <w:rPr>
          <w:rFonts w:cstheme="minorHAnsi"/>
          <w:b/>
        </w:rPr>
        <w:t>ANEXO III</w:t>
      </w:r>
    </w:p>
    <w:p w:rsidR="00101E22" w:rsidRDefault="00101E22" w:rsidP="00101E22">
      <w:pPr>
        <w:spacing w:line="360" w:lineRule="auto"/>
        <w:jc w:val="both"/>
        <w:rPr>
          <w:rFonts w:cstheme="minorHAnsi"/>
          <w:b/>
          <w:bCs/>
        </w:rPr>
      </w:pPr>
      <w:r w:rsidRPr="00DE3E85">
        <w:rPr>
          <w:rFonts w:cstheme="minorHAnsi"/>
          <w:b/>
        </w:rPr>
        <w:t>APARTADO DE LAS BASES REGULADORAS Y CONVOCATORIA DE SUBVENCIONES PARA LA FINANCIACIÓN DE ADAPTACIÓN DE LÍNEAS ELÉCTRICAS</w:t>
      </w:r>
      <w:r w:rsidRPr="00DE3E85">
        <w:rPr>
          <w:rFonts w:cstheme="minorHAnsi"/>
          <w:b/>
          <w:bCs/>
        </w:rPr>
        <w:t xml:space="preserve"> PARA EL CUMPLIMIENTO DE LOS REQUISITOS DE LAS ACTUACIONES FINANCIADAS POR EL MECANISMO DE RECUPERACIÓN Y RESILIENCIA DE LA UNIÓN EUROPEA, NEXT GENERATION. </w:t>
      </w:r>
    </w:p>
    <w:p w:rsidR="00E76D8B" w:rsidRPr="00E76D8B" w:rsidRDefault="00E76D8B" w:rsidP="00E76D8B">
      <w:pPr>
        <w:shd w:val="clear" w:color="auto" w:fill="A6A6A6" w:themeFill="background1" w:themeFillShade="A6"/>
        <w:spacing w:line="360" w:lineRule="auto"/>
        <w:jc w:val="both"/>
        <w:rPr>
          <w:rFonts w:cstheme="minorHAnsi"/>
        </w:rPr>
      </w:pPr>
      <w:r w:rsidRPr="00E76D8B">
        <w:rPr>
          <w:rFonts w:cstheme="minorHAnsi"/>
          <w:bCs/>
        </w:rPr>
        <w:t xml:space="preserve">EN APLICACIÓN DEL ARTÍCULO 22 DE LAS BASES REGULADORAS </w:t>
      </w:r>
      <w:r>
        <w:rPr>
          <w:rFonts w:cstheme="minorHAnsi"/>
          <w:bCs/>
        </w:rPr>
        <w:t>EL BENEFICIARIO DE LA AYUDA CUMPLIMENTARÁ EL ANEXO III CON LOS DATOS DEL SUBCONTRATISTA</w:t>
      </w:r>
    </w:p>
    <w:p w:rsidR="00101E22" w:rsidRPr="00DE3E85" w:rsidRDefault="00101E22" w:rsidP="00101E22">
      <w:pPr>
        <w:spacing w:line="360" w:lineRule="auto"/>
        <w:jc w:val="both"/>
        <w:rPr>
          <w:rFonts w:cstheme="minorHAnsi"/>
          <w:b/>
          <w:u w:val="single"/>
        </w:rPr>
      </w:pPr>
      <w:r w:rsidRPr="00DE3E85">
        <w:rPr>
          <w:rFonts w:cstheme="minorHAnsi"/>
          <w:b/>
          <w:u w:val="single"/>
        </w:rPr>
        <w:t xml:space="preserve">CONTRIBUCIÓN AL ETIQUETADO VERDE Y DIGITAL </w:t>
      </w:r>
    </w:p>
    <w:p w:rsidR="00101E22" w:rsidRPr="00DE3E85" w:rsidRDefault="00101E22" w:rsidP="00101E22">
      <w:pPr>
        <w:suppressAutoHyphens/>
        <w:spacing w:before="120" w:line="360" w:lineRule="auto"/>
        <w:jc w:val="both"/>
        <w:rPr>
          <w:rFonts w:cstheme="minorHAnsi"/>
          <w:lang w:val="es-ES_tradnl"/>
        </w:rPr>
      </w:pPr>
      <w:r w:rsidRPr="00DE3E85">
        <w:rPr>
          <w:rFonts w:cstheme="minorHAnsi"/>
          <w:lang w:val="es-ES_tradnl"/>
        </w:rPr>
        <w:t xml:space="preserve">Esta actuación contribuye a alcanzar el etiquetado verde mediante los objetivos climáticos y medioambientales de acuerdo con el anexo VI del Reglamento (UE) 2021/241 por el que se establece el Mecanismo de Recuperación y Resiliencia, </w:t>
      </w:r>
      <w:r w:rsidRPr="00DE3E85">
        <w:rPr>
          <w:rFonts w:cstheme="minorHAnsi"/>
        </w:rPr>
        <w:t>dicha metodología se aplica de acuerdo al campo de intervención enumerado en el anexo VI:</w:t>
      </w:r>
    </w:p>
    <w:p w:rsidR="00101E22" w:rsidRPr="00DE3E85" w:rsidRDefault="00101E22" w:rsidP="00101E22">
      <w:pPr>
        <w:pStyle w:val="Prrafodelista"/>
        <w:numPr>
          <w:ilvl w:val="0"/>
          <w:numId w:val="3"/>
        </w:numPr>
        <w:suppressAutoHyphens/>
        <w:spacing w:before="120" w:line="360" w:lineRule="auto"/>
        <w:jc w:val="both"/>
        <w:rPr>
          <w:rFonts w:cstheme="minorHAnsi"/>
          <w:lang w:val="es-ES_tradnl"/>
        </w:rPr>
      </w:pPr>
      <w:r w:rsidRPr="00DE3E85">
        <w:rPr>
          <w:rFonts w:cstheme="minorHAnsi"/>
          <w:lang w:val="es-ES_tradnl"/>
        </w:rPr>
        <w:t>Campo de intervención 050: Protección de la naturaleza y la biodiversidad, patrimonio y recursos naturales, infraestructuras verdes y azules: ayuda a los objetivos climáticos en un 40%; ayuda a los objetivos medioambientales en un 100%.</w:t>
      </w:r>
    </w:p>
    <w:p w:rsidR="00101E22" w:rsidRPr="00DE3E85" w:rsidRDefault="00101E22" w:rsidP="00101E22">
      <w:pPr>
        <w:suppressAutoHyphens/>
        <w:spacing w:before="120" w:line="360" w:lineRule="auto"/>
        <w:jc w:val="both"/>
        <w:rPr>
          <w:rFonts w:cstheme="minorHAnsi"/>
          <w:lang w:val="es-ES_tradnl"/>
        </w:rPr>
      </w:pPr>
      <w:r w:rsidRPr="00DE3E85">
        <w:rPr>
          <w:rFonts w:cstheme="minorHAnsi"/>
          <w:lang w:val="es-ES_tradnl"/>
        </w:rPr>
        <w:t>Esta actuación no contribuye al etiquetado digital.</w:t>
      </w:r>
    </w:p>
    <w:p w:rsidR="00101E22" w:rsidRPr="00DE3E85" w:rsidRDefault="00101E22" w:rsidP="00101E22">
      <w:pPr>
        <w:spacing w:line="360" w:lineRule="auto"/>
        <w:jc w:val="both"/>
        <w:rPr>
          <w:rFonts w:cstheme="minorHAnsi"/>
          <w:b/>
          <w:u w:val="single"/>
        </w:rPr>
      </w:pPr>
      <w:r w:rsidRPr="00DE3E85">
        <w:rPr>
          <w:rFonts w:cstheme="minorHAnsi"/>
          <w:b/>
          <w:u w:val="single"/>
        </w:rPr>
        <w:t>CUMPLIMIENTO DE LA NORMATIVA SOBRE AYUDAS DE ESTADO</w:t>
      </w:r>
    </w:p>
    <w:p w:rsidR="00101E22" w:rsidRPr="00DE3E85" w:rsidRDefault="00101E22" w:rsidP="00101E22">
      <w:pPr>
        <w:spacing w:line="360" w:lineRule="auto"/>
        <w:jc w:val="both"/>
        <w:rPr>
          <w:rFonts w:cstheme="minorHAnsi"/>
          <w:b/>
        </w:rPr>
      </w:pPr>
      <w:r w:rsidRPr="00DE3E85">
        <w:rPr>
          <w:rFonts w:cstheme="minorHAnsi"/>
        </w:rPr>
        <w:t>Las ayudas que se otorguen al amparo de esta orden no tienen la consideración de ayudas de Estado, dado que se excluyen de esa consideración las compensaciones que la Administración conceda para el desarrollo de un servicio que haya sido declarado expresamente a través de una norma como Servicio de Interés Económico General (SIEG).</w:t>
      </w:r>
    </w:p>
    <w:p w:rsidR="00101E22" w:rsidRPr="00DE3E85" w:rsidRDefault="00101E22" w:rsidP="00101E22">
      <w:pPr>
        <w:spacing w:line="360" w:lineRule="auto"/>
        <w:jc w:val="both"/>
        <w:rPr>
          <w:rFonts w:cstheme="minorHAnsi"/>
        </w:rPr>
      </w:pPr>
      <w:r w:rsidRPr="00DE3E85">
        <w:rPr>
          <w:rFonts w:cstheme="minorHAnsi"/>
        </w:rPr>
        <w:t xml:space="preserve">Estas ayudas, de acuerdo con la descripción del Componente 4 Conservación y restauración de ecosistemas marinos y terrestres y su biodiversidad del Plan de Recuperación, Transformación y Resiliencia y en virtud de lo establecido en el apartado (15) e, de las Directrices sobre ayudas estatales en materia de protección de medio ambiente y energía 2014-2020, Comunicación de la Comisión 2014/C 200/01, quedan excluidas de su ámbito de aplicación las ayudas para la conservación de la biodiversidad, las cuales deben regirse por las normas aplicables a los Servicios de Interés Económico General (SIEG). </w:t>
      </w:r>
    </w:p>
    <w:p w:rsidR="00101E22" w:rsidRPr="00DE3E85" w:rsidRDefault="00101E22" w:rsidP="00101E22">
      <w:pPr>
        <w:spacing w:line="360" w:lineRule="auto"/>
        <w:jc w:val="both"/>
        <w:rPr>
          <w:rFonts w:cstheme="minorHAnsi"/>
        </w:rPr>
      </w:pPr>
      <w:r w:rsidRPr="00DE3E85">
        <w:rPr>
          <w:rFonts w:cstheme="minorHAnsi"/>
        </w:rPr>
        <w:t xml:space="preserve">Las acciones de conservación de la biodiversidad, en especial la eliminación de importantes factores de amenaza que afectan a un número elevado de especies incluidas en el Catálogo Español de Especies Amenazadas (Real Decreto 139/2011, de 4 de febrero ) vienen recogidas en </w:t>
      </w:r>
      <w:r w:rsidRPr="00DE3E85">
        <w:rPr>
          <w:rFonts w:cstheme="minorHAnsi"/>
        </w:rPr>
        <w:lastRenderedPageBreak/>
        <w:t xml:space="preserve">las estrategias de conservación contempladas en el artículo 60 de la Ley 42/2007, de 13 de diciembre, del Patrimonio Natural y de la Biodiversidad y han de considerarse como un servicio de interés económico general (SIEG), por suponer un claro beneficio no sólo para toda la sociedad actual sino también para las generaciones futuras. En este sentido, dado que el objeto de la inversión prevista en este decreto es la corrección de líneas eléctricas peligrosas para la avifauna, esta financiación tendría la consideración de compensación por servicio público ya que los titulares de las líneas eléctricas ubicadas en zonas de protección están obligados a realizar dichas correcciones a tenor de lo dispuesto en el Real Decreto 1432/2008, de 29 de agosto. </w:t>
      </w:r>
    </w:p>
    <w:p w:rsidR="00101E22" w:rsidRPr="00DE3E85" w:rsidRDefault="00101E22" w:rsidP="00101E22">
      <w:pPr>
        <w:spacing w:line="360" w:lineRule="auto"/>
        <w:jc w:val="both"/>
        <w:rPr>
          <w:rFonts w:cstheme="minorHAnsi"/>
          <w:b/>
        </w:rPr>
      </w:pPr>
      <w:r w:rsidRPr="00DE3E85">
        <w:rPr>
          <w:rFonts w:cstheme="minorHAnsi"/>
        </w:rPr>
        <w:t xml:space="preserve">Por todo ello, la financiación prevista en el presente decreto no tendría la consideración de ayudas de estado, teniendo en cuenta que se cumplen los cuatro criterios señalados en la Sentencia </w:t>
      </w:r>
      <w:proofErr w:type="spellStart"/>
      <w:r w:rsidRPr="00DE3E85">
        <w:rPr>
          <w:rFonts w:cstheme="minorHAnsi"/>
        </w:rPr>
        <w:t>Altmark</w:t>
      </w:r>
      <w:proofErr w:type="spellEnd"/>
      <w:r w:rsidRPr="00DE3E85">
        <w:rPr>
          <w:rFonts w:cstheme="minorHAnsi"/>
        </w:rPr>
        <w:t xml:space="preserve"> y resultarían plenamente compatibles con el mercado interior, de acuerdo con lo dispuesto en la Decisión 2012/21/UE de la Comisión, de 20 de diciembre de 2011, relativa a la aplicación de las disposiciones del artículo 106, apartado 2, del Tratado de Funcionamiento de la Unión Europea a las ayudas estatales en forma de compensación por servicio público concedidas a algunas empresas encargadas de la gestión de servicios de interés económico general, notificada con el número C(2011) 9380, al cumplirse los requisitos establecidos en la misma ya que estas ayudas no superarán en ningún caso los 15 millones de euros anuales.</w:t>
      </w:r>
    </w:p>
    <w:p w:rsidR="00101E22" w:rsidRPr="00DE3E85" w:rsidRDefault="00101E22" w:rsidP="00101E22">
      <w:pPr>
        <w:spacing w:line="360" w:lineRule="auto"/>
        <w:jc w:val="both"/>
        <w:rPr>
          <w:rFonts w:cstheme="minorHAnsi"/>
          <w:b/>
          <w:u w:val="single"/>
        </w:rPr>
      </w:pPr>
      <w:r w:rsidRPr="00DE3E85">
        <w:rPr>
          <w:rFonts w:cstheme="minorHAnsi"/>
          <w:b/>
          <w:u w:val="single"/>
        </w:rPr>
        <w:t>LA EXISTENCIA DE MEDIDAS QUE REDUCEN EL RIESGO DE FRAUDE, CORRUPCIÓN Y CONFLICTO DE INTERESES</w:t>
      </w:r>
    </w:p>
    <w:p w:rsidR="00101E22" w:rsidRPr="00DE3E85" w:rsidRDefault="00101E22" w:rsidP="00101E22">
      <w:pPr>
        <w:spacing w:line="360" w:lineRule="auto"/>
        <w:jc w:val="both"/>
        <w:rPr>
          <w:rFonts w:cstheme="minorHAnsi"/>
        </w:rPr>
      </w:pPr>
      <w:r w:rsidRPr="00DE3E85">
        <w:rPr>
          <w:rFonts w:cstheme="minorHAnsi"/>
        </w:rPr>
        <w:t>De acuerdo con el Reglamento 2020/241  del Parlamento Europeo y del Consejo de 12 de febrero de 2021 por el que se establece el Mecanismo de Recuperación y Resiliencia y de la Orden HFP/1030/2021, de 29 de septiembre, por la que se configura el sistema de gestión del Plan de Recuperación, Transformación y Resiliencia, la Dirección General de Patrimonio Natural y Acción Climática se compromete a la aplicación del Plan de actuaciones para la prevención, detección y corrección del fraude, la corrupción, los conflictos de intereses y evitar la doble financiación de la Dirección General de Patrimonio Natural y Acción Climática de la de Consejería de Medio Ambiente, Mar Menor, Universidades e Investigación, aprobado por Resolución de 3 de marzo de 2024 por parte de la Directora General de Patrimonio Natural y Acción Climática.</w:t>
      </w:r>
    </w:p>
    <w:p w:rsidR="00101E22" w:rsidRPr="00DE3E85" w:rsidRDefault="002B330D" w:rsidP="00101E22">
      <w:pPr>
        <w:spacing w:line="360" w:lineRule="auto"/>
        <w:jc w:val="both"/>
        <w:rPr>
          <w:rFonts w:cstheme="minorHAnsi"/>
        </w:rPr>
      </w:pPr>
      <w:hyperlink r:id="rId7" w:history="1">
        <w:r w:rsidR="00101E22" w:rsidRPr="00DE3E85">
          <w:rPr>
            <w:rStyle w:val="Hipervnculo"/>
            <w:rFonts w:cstheme="minorHAnsi"/>
          </w:rPr>
          <w:t>https://transparencia.carm.es/wres/NextGeneration/doc/Planes-Antifraude/Consejeria_MedioAmbiente/PLAN_ANTIFRAUDE_DGPatrimonioNaturalyAccionClimatica.pdf?2</w:t>
        </w:r>
      </w:hyperlink>
    </w:p>
    <w:p w:rsidR="00101E22" w:rsidRPr="00DE3E85" w:rsidRDefault="00101E22" w:rsidP="00101E22">
      <w:pPr>
        <w:spacing w:line="360" w:lineRule="auto"/>
        <w:jc w:val="both"/>
        <w:rPr>
          <w:rFonts w:cstheme="minorHAnsi"/>
        </w:rPr>
      </w:pPr>
      <w:r w:rsidRPr="00DE3E85">
        <w:rPr>
          <w:rFonts w:cstheme="minorHAnsi"/>
        </w:rPr>
        <w:t>En el apartado 5 del citado Plan, se establecen las medidas del ciclo antifraude y medidas relativas al sistema de prevención de conflictos de intereses.</w:t>
      </w:r>
    </w:p>
    <w:p w:rsidR="00101E22" w:rsidRPr="00DE3E85" w:rsidRDefault="00101E22" w:rsidP="00101E22">
      <w:pPr>
        <w:pStyle w:val="Default"/>
        <w:spacing w:line="360" w:lineRule="auto"/>
        <w:jc w:val="both"/>
        <w:rPr>
          <w:rFonts w:asciiTheme="minorHAnsi" w:hAnsiTheme="minorHAnsi" w:cstheme="minorHAnsi"/>
          <w:color w:val="auto"/>
          <w:sz w:val="22"/>
          <w:szCs w:val="22"/>
        </w:rPr>
      </w:pPr>
      <w:r w:rsidRPr="00DE3E85">
        <w:rPr>
          <w:rFonts w:asciiTheme="minorHAnsi" w:hAnsiTheme="minorHAnsi" w:cstheme="minorHAnsi"/>
          <w:color w:val="auto"/>
          <w:sz w:val="22"/>
          <w:szCs w:val="22"/>
        </w:rPr>
        <w:lastRenderedPageBreak/>
        <w:t>Asimismo, se ha de cumplir lo establecido en la Orden HFP/55/2023, de 24 de enero, relativa al análisis sistemático del riesgo de conflicto de interés en los procedimientos que ejecutan el Plan de Recuperación, Transformación y Resiliencia.</w:t>
      </w:r>
    </w:p>
    <w:p w:rsidR="00101E22" w:rsidRPr="00DE3E85" w:rsidRDefault="00101E22" w:rsidP="00101E22">
      <w:pPr>
        <w:spacing w:line="360" w:lineRule="auto"/>
        <w:jc w:val="both"/>
        <w:rPr>
          <w:rFonts w:cstheme="minorHAnsi"/>
        </w:rPr>
      </w:pPr>
      <w:r w:rsidRPr="00DE3E85">
        <w:rPr>
          <w:rFonts w:cstheme="minorHAnsi"/>
        </w:rPr>
        <w:t>De acuerdo con lo establecido en esta Orden HFP/55/2023, el análisis sistemático y automatizado del riesgo de conflicto de interés se llevará a cabo en el caso de las subvenciones por el órgano competente para la concesión y miembros de los órganos colegiados de valoración de solicitudes, en las fases de valoración de solicitudes y resolución de la concesión.</w:t>
      </w:r>
    </w:p>
    <w:p w:rsidR="00101E22" w:rsidRPr="00DE3E85" w:rsidRDefault="00101E22" w:rsidP="00101E22">
      <w:pPr>
        <w:spacing w:line="360" w:lineRule="auto"/>
        <w:jc w:val="both"/>
        <w:rPr>
          <w:rFonts w:cstheme="minorHAnsi"/>
        </w:rPr>
      </w:pPr>
      <w:r w:rsidRPr="00DE3E85">
        <w:rPr>
          <w:rFonts w:cstheme="minorHAnsi"/>
        </w:rPr>
        <w:t>Asimismo se establece que el análisis del conflicto de interés se realizará sobre los empleados que participen en los procedimientos de concesión de subvenciones, en el marco de cualquier actuación del PRTR, formen parte o no dichos empleados de una entidad ejecutora o de una entidad instrumental.</w:t>
      </w:r>
      <w:r w:rsidRPr="00DE3E85">
        <w:rPr>
          <w:rFonts w:cstheme="minorHAnsi"/>
        </w:rPr>
        <w:t> </w:t>
      </w:r>
    </w:p>
    <w:p w:rsidR="00101E22" w:rsidRPr="00DE3E85" w:rsidRDefault="00101E22" w:rsidP="00101E22">
      <w:pPr>
        <w:spacing w:line="360" w:lineRule="auto"/>
        <w:jc w:val="both"/>
        <w:rPr>
          <w:rFonts w:cstheme="minorHAnsi"/>
        </w:rPr>
      </w:pPr>
      <w:r w:rsidRPr="00DE3E85">
        <w:rPr>
          <w:rFonts w:cstheme="minorHAnsi"/>
        </w:rPr>
        <w:t>Las personas mencionadas serán las que deban firmar electrónicamente las Declaraciones de Ausencia de Conflicto de Interés (DACI), según el modelo del Anexo I de la citada Orden.</w:t>
      </w:r>
    </w:p>
    <w:p w:rsidR="00101E22" w:rsidRPr="00DE3E85" w:rsidRDefault="00101E22" w:rsidP="00101E22">
      <w:pPr>
        <w:spacing w:line="360" w:lineRule="auto"/>
        <w:jc w:val="both"/>
        <w:rPr>
          <w:rFonts w:cstheme="minorHAnsi"/>
        </w:rPr>
      </w:pPr>
      <w:r w:rsidRPr="00DE3E85">
        <w:rPr>
          <w:rFonts w:cstheme="minorHAnsi"/>
        </w:rPr>
        <w:t xml:space="preserve">En todo caso y para el cumplimiento de la citada Orden HFP/55/2023, se habilita a los órganos de concesión de subvenciones a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de la operación de que se trate. Esta información deberá aportarse al órgano de concesión de subvenciones en el plazo de cinco días hábiles desde que se formule la solicitud de información. La falta de entrega de dicha información en el plazo señalado será motivo de exclusión del procedimiento en el que esté participando. </w:t>
      </w:r>
    </w:p>
    <w:p w:rsidR="00101E22" w:rsidRPr="00DE3E85" w:rsidRDefault="00101E22" w:rsidP="00101E22">
      <w:pPr>
        <w:spacing w:line="360" w:lineRule="auto"/>
        <w:jc w:val="both"/>
        <w:rPr>
          <w:rFonts w:cstheme="minorHAnsi"/>
        </w:rPr>
      </w:pPr>
      <w:r w:rsidRPr="00DE3E85">
        <w:rPr>
          <w:rFonts w:cstheme="minorHAnsi"/>
        </w:rPr>
        <w:t xml:space="preserve">Los datos, una vez recibidos, serán adecuadamente custodiados de acuerdo con la Ley Orgánica 3/2018, de 5 de diciembre, de Protección de Datos Personales y garantía de los derechos digitales. A través del MINERVA, el responsable de operación, órgano responsable de concesión de la subvención, llevará a cabo un nuevo control ex ante del riesgo de conflicto de interés, indicando, en lugar del solicitante, los titulares reales recuperados por los órganos concesión de subvenciones. </w:t>
      </w:r>
    </w:p>
    <w:p w:rsidR="00101E22" w:rsidRPr="00DE3E85" w:rsidRDefault="00101E22" w:rsidP="00101E22">
      <w:pPr>
        <w:spacing w:line="360" w:lineRule="auto"/>
        <w:jc w:val="both"/>
        <w:rPr>
          <w:rFonts w:cstheme="minorHAnsi"/>
        </w:rPr>
      </w:pPr>
      <w:r w:rsidRPr="00DE3E85">
        <w:rPr>
          <w:rFonts w:cstheme="minorHAnsi"/>
        </w:rPr>
        <w:t>En la Orden HFP/55/2023 se establece el procedimiento a aplicar en el caso de identificación del riesgo de conflicto de interés.</w:t>
      </w:r>
    </w:p>
    <w:p w:rsidR="00101E22" w:rsidRPr="00DE3E85" w:rsidRDefault="00101E22" w:rsidP="00101E22">
      <w:pPr>
        <w:spacing w:line="360" w:lineRule="auto"/>
        <w:jc w:val="both"/>
        <w:rPr>
          <w:rFonts w:cstheme="minorHAnsi"/>
          <w:b/>
        </w:rPr>
      </w:pPr>
      <w:r w:rsidRPr="00DE3E85">
        <w:rPr>
          <w:rFonts w:cstheme="minorHAnsi"/>
        </w:rPr>
        <w:t xml:space="preserve">Asimismo en la Declaración de Ausencia de Conflicto de Interés que firman los participantes en el procedimiento, de acuerdo al Anexo I de la Orden HFP/55/2023, se compromete/n a poner en conocimiento del órgano de contratación/comisión de evaluación, sin dilación, cualquier </w:t>
      </w:r>
      <w:r w:rsidRPr="00DE3E85">
        <w:rPr>
          <w:rFonts w:cstheme="minorHAnsi"/>
        </w:rPr>
        <w:lastRenderedPageBreak/>
        <w:t>situación de conflicto de interés que pudiera conocer y producirse en cualquier momento del procedimiento en curso.</w:t>
      </w:r>
    </w:p>
    <w:p w:rsidR="00101E22" w:rsidRPr="00DE3E85" w:rsidRDefault="00101E22" w:rsidP="00101E22">
      <w:pPr>
        <w:spacing w:line="360" w:lineRule="auto"/>
        <w:jc w:val="both"/>
        <w:rPr>
          <w:rFonts w:cstheme="minorHAnsi"/>
          <w:b/>
          <w:u w:val="single"/>
        </w:rPr>
      </w:pPr>
      <w:r w:rsidRPr="00DE3E85">
        <w:rPr>
          <w:rFonts w:cstheme="minorHAnsi"/>
          <w:b/>
          <w:u w:val="single"/>
        </w:rPr>
        <w:t>DOBLE FINANCIACIÓN</w:t>
      </w:r>
    </w:p>
    <w:p w:rsidR="00101E22" w:rsidRPr="00DE3E85" w:rsidRDefault="00101E22" w:rsidP="00101E22">
      <w:pPr>
        <w:spacing w:line="360" w:lineRule="auto"/>
        <w:jc w:val="both"/>
        <w:rPr>
          <w:rFonts w:cstheme="minorHAnsi"/>
        </w:rPr>
      </w:pPr>
      <w:r w:rsidRPr="00DE3E85">
        <w:rPr>
          <w:rFonts w:cstheme="minorHAnsi"/>
        </w:rPr>
        <w:t xml:space="preserve">De acuerdo con el artículo 9 del Reglamento 2020/241 del MRR y por la </w:t>
      </w:r>
      <w:r w:rsidRPr="00DE3E85">
        <w:rPr>
          <w:rFonts w:cstheme="minorHAnsi"/>
          <w:sz w:val="23"/>
          <w:szCs w:val="23"/>
        </w:rPr>
        <w:t>Orden HFP/1031/2021</w:t>
      </w:r>
      <w:r w:rsidRPr="00DE3E85">
        <w:rPr>
          <w:rFonts w:cstheme="minorHAnsi"/>
        </w:rPr>
        <w:t>, las actuaciones financiadas por el Mecanismo de Recuperación y Resiliencia pueden recibir ayuda de otros programas e instrumentos de la Unión siempre que dicha ayuda no cubra el mismo coste.</w:t>
      </w:r>
    </w:p>
    <w:p w:rsidR="00101E22" w:rsidRPr="00DE3E85" w:rsidRDefault="00101E22" w:rsidP="00101E22">
      <w:pPr>
        <w:spacing w:line="360" w:lineRule="auto"/>
        <w:jc w:val="both"/>
        <w:rPr>
          <w:rFonts w:cstheme="minorHAnsi"/>
        </w:rPr>
      </w:pPr>
      <w:r w:rsidRPr="00DE3E85">
        <w:rPr>
          <w:rFonts w:cstheme="minorHAnsi"/>
        </w:rPr>
        <w:t xml:space="preserve">Por parte la Dirección General de Patrimonio Natural y Acción Climática, órgano tramitador de estas ayudas, en el ámbito de sus competencias, se realizarán las actuaciones previas y comprobaciones necesarias para garantizar la ausencia de doble </w:t>
      </w:r>
      <w:r w:rsidRPr="00DE3E85">
        <w:rPr>
          <w:rFonts w:cstheme="minorHAnsi"/>
          <w:iCs/>
        </w:rPr>
        <w:t>financiación del contrato, en cuanto que en ningún caso podrán ser financiados dos veces por el presupuesto los mismos gastos. Mediante las bases de datos vinculadas al Mecanismo de Recuperación y Resiliencia se procederá a realizar las comprobaciones necesarias para constatar la ausencia de doble financiación.</w:t>
      </w:r>
    </w:p>
    <w:p w:rsidR="00101E22" w:rsidRPr="00DE3E85" w:rsidRDefault="00101E22" w:rsidP="00101E22">
      <w:pPr>
        <w:spacing w:line="360" w:lineRule="auto"/>
        <w:jc w:val="both"/>
        <w:rPr>
          <w:rFonts w:cstheme="minorHAnsi"/>
        </w:rPr>
      </w:pPr>
      <w:r w:rsidRPr="00DE3E85">
        <w:rPr>
          <w:rFonts w:cstheme="minorHAnsi"/>
        </w:rPr>
        <w:t>Por lo tanto, se atiene a lo establecido en el Considerando 62 del Reglamento (UE) 2021/241, del Parlamento Europeo y del Consejo de 12 de febrero de 2021, que establece que las acciones previstas en dicho Reglamento deben ser coherentes con los programas de la Unión en curso y complementarlos, así como evitar la doble financiación procedente del Mecanismo y de otros programas de la Unión de los mismos gastos. Se advierte mediante estas bases reguladoras a los beneficiarios de esta prohibición y que deben informar sobre cualquiera de otros fondos recibidos (no sólo europeos) que hayan contribuido también a la financiación de dichos costes.</w:t>
      </w:r>
    </w:p>
    <w:p w:rsidR="00101E22" w:rsidRPr="00DE3E85" w:rsidRDefault="00101E22" w:rsidP="00101E22">
      <w:pPr>
        <w:spacing w:line="360" w:lineRule="auto"/>
        <w:jc w:val="both"/>
        <w:rPr>
          <w:rFonts w:cstheme="minorHAnsi"/>
        </w:rPr>
      </w:pPr>
      <w:r w:rsidRPr="00DE3E85">
        <w:rPr>
          <w:rFonts w:cstheme="minorHAnsi"/>
        </w:rPr>
        <w:t>Los beneficiarios deberán acreditarán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w:t>
      </w:r>
    </w:p>
    <w:p w:rsidR="00101E22" w:rsidRPr="00DE3E85" w:rsidRDefault="00101E22" w:rsidP="00101E22">
      <w:pPr>
        <w:spacing w:line="360" w:lineRule="auto"/>
        <w:jc w:val="both"/>
        <w:rPr>
          <w:rFonts w:cstheme="minorHAnsi"/>
        </w:rPr>
      </w:pPr>
      <w:r w:rsidRPr="00DE3E85">
        <w:rPr>
          <w:rFonts w:cstheme="minorHAnsi"/>
        </w:rPr>
        <w:t xml:space="preserve">Igualmente, para asegurar que los beneficiarios no incurran en doble financiación, así como con el resto de los principios de obligado cumplimiento vinculados a la ejecución de este plan, éstos deberán cumplimentar una declaración responsable que se formalizará mediante la cumplimentación </w:t>
      </w:r>
      <w:r w:rsidRPr="00DE3E85">
        <w:rPr>
          <w:rFonts w:cstheme="minorHAnsi"/>
          <w:b/>
        </w:rPr>
        <w:t>del ANEXO VI.C de la Orden HFP 1030/2021</w:t>
      </w:r>
      <w:r w:rsidRPr="00DE3E85">
        <w:rPr>
          <w:rFonts w:cstheme="minorHAnsi"/>
        </w:rPr>
        <w:t>, Modelo declaración de compromiso de cumplimento de compromisos transversales en relación con la ejecución de actuaciones del Plan de Recuperación Transformación y Resiliencia.</w:t>
      </w:r>
    </w:p>
    <w:p w:rsidR="00101E22" w:rsidRDefault="00101E22" w:rsidP="00101E22">
      <w:pPr>
        <w:spacing w:line="360" w:lineRule="auto"/>
        <w:jc w:val="both"/>
        <w:rPr>
          <w:rFonts w:cstheme="minorHAnsi"/>
          <w:b/>
          <w:u w:val="single"/>
        </w:rPr>
      </w:pPr>
    </w:p>
    <w:p w:rsidR="00101E22" w:rsidRPr="00DE3E85" w:rsidRDefault="00101E22" w:rsidP="00101E22">
      <w:pPr>
        <w:spacing w:line="360" w:lineRule="auto"/>
        <w:jc w:val="both"/>
        <w:rPr>
          <w:rFonts w:cstheme="minorHAnsi"/>
          <w:b/>
        </w:rPr>
      </w:pPr>
      <w:r w:rsidRPr="00DE3E85">
        <w:rPr>
          <w:rFonts w:cstheme="minorHAnsi"/>
          <w:b/>
          <w:u w:val="single"/>
        </w:rPr>
        <w:lastRenderedPageBreak/>
        <w:t>CUMPLIMIENTO DEL PRINCIPIO DNSH</w:t>
      </w:r>
    </w:p>
    <w:p w:rsidR="00101E22" w:rsidRPr="00DE3E85" w:rsidRDefault="00101E22" w:rsidP="00101E22">
      <w:pPr>
        <w:spacing w:line="360" w:lineRule="auto"/>
        <w:jc w:val="both"/>
        <w:rPr>
          <w:rFonts w:cstheme="minorHAnsi"/>
          <w:b/>
        </w:rPr>
      </w:pPr>
      <w:r w:rsidRPr="00DE3E85">
        <w:rPr>
          <w:rFonts w:cstheme="minorHAnsi"/>
        </w:rPr>
        <w:t xml:space="preserve">El apartado 2 del artículo 5 del RMRR establece que el Mecanismo solo apoyará aquellas medidas que respeten el principio de “no causar un perjuicio significativo”. Ninguna de las medidas incluidas en el PRTR </w:t>
      </w:r>
      <w:proofErr w:type="gramStart"/>
      <w:r w:rsidRPr="00DE3E85">
        <w:rPr>
          <w:rFonts w:cstheme="minorHAnsi"/>
        </w:rPr>
        <w:t>pueden</w:t>
      </w:r>
      <w:proofErr w:type="gramEnd"/>
      <w:r w:rsidRPr="00DE3E85">
        <w:rPr>
          <w:rFonts w:cstheme="minorHAnsi"/>
        </w:rPr>
        <w:t xml:space="preserve"> causar un perjuicio significativo a objetivos medioambientales en el sentido del artículo 17 del Reglamento (UE) 2020/852.</w:t>
      </w:r>
    </w:p>
    <w:p w:rsidR="00101E22" w:rsidRPr="00DE3E85" w:rsidRDefault="00101E22" w:rsidP="00101E22">
      <w:pPr>
        <w:suppressAutoHyphens/>
        <w:autoSpaceDE w:val="0"/>
        <w:autoSpaceDN w:val="0"/>
        <w:spacing w:before="120" w:after="120" w:line="360" w:lineRule="auto"/>
        <w:jc w:val="both"/>
        <w:rPr>
          <w:rFonts w:cstheme="minorHAnsi"/>
        </w:rPr>
      </w:pPr>
      <w:r w:rsidRPr="00DE3E85">
        <w:rPr>
          <w:rFonts w:cstheme="minorHAnsi"/>
        </w:rPr>
        <w:t xml:space="preserve">Las actuaciones previstas respetarán el principio de «no causar un perjuicio significativo al medio ambiente» (principio “do no </w:t>
      </w:r>
      <w:proofErr w:type="spellStart"/>
      <w:r w:rsidRPr="00DE3E85">
        <w:rPr>
          <w:rFonts w:cstheme="minorHAnsi"/>
        </w:rPr>
        <w:t>significant</w:t>
      </w:r>
      <w:proofErr w:type="spellEnd"/>
      <w:r w:rsidRPr="00DE3E85">
        <w:rPr>
          <w:rFonts w:cstheme="minorHAnsi"/>
        </w:rPr>
        <w:t xml:space="preserve"> </w:t>
      </w:r>
      <w:proofErr w:type="spellStart"/>
      <w:r w:rsidRPr="00DE3E85">
        <w:rPr>
          <w:rFonts w:cstheme="minorHAnsi"/>
        </w:rPr>
        <w:t>harm</w:t>
      </w:r>
      <w:proofErr w:type="spellEnd"/>
      <w:r w:rsidRPr="00DE3E85">
        <w:rPr>
          <w:rFonts w:cstheme="minorHAnsi"/>
        </w:rPr>
        <w:t>”- DNSH) y su normativa de aplicación, especialmente el Reglamento (UE) 2021/241 del Parlamento Europeo y del Consejo, de 12 de febrero de 2021, por el que se establece el Mecanismo de Recuperación y Resiliencia; el Reglamento (UE) 2020/852, relativo al establecimiento de un marco para facilitar las inversiones sostenibles (Reglamento de Taxonomía) y la Guía Técnica de la Comisión Europea (2021/C 58/01) sobre la aplicación de este principio.</w:t>
      </w:r>
    </w:p>
    <w:p w:rsidR="00101E22" w:rsidRPr="00DE3E85" w:rsidRDefault="00101E22" w:rsidP="00101E22">
      <w:pPr>
        <w:suppressAutoHyphens/>
        <w:autoSpaceDE w:val="0"/>
        <w:autoSpaceDN w:val="0"/>
        <w:spacing w:before="120" w:after="120" w:line="360" w:lineRule="auto"/>
        <w:jc w:val="both"/>
        <w:rPr>
          <w:rFonts w:cstheme="minorHAnsi"/>
        </w:rPr>
      </w:pPr>
      <w:r w:rsidRPr="00DE3E85">
        <w:rPr>
          <w:rFonts w:cstheme="minorHAnsi"/>
        </w:rPr>
        <w:t>De acuerdo el Plan de Recuperación, Transformación y Resiliencia (PRTR) para el Componente 4 (en su apartado 8) y la Guía para el diseño y desarrollo de actuaciones acordes con el principio de no causar un perjuicio significativo al medio ambiente, del Ministerio para la Transición Ecológica y el Reto Demográfico, las actuaciones de esta convocatoria requieren un análisis simplificado (Sección 2 del Cuestionario de Autoevaluación) por su bajo impacto ambiental, dado que contribuyen sustancialmente a alcanzar objetivos ambientales de acuerdo con el Reglamento europeo de Taxonomía (Reglamento 2020/852), principalmente con el objetivo “Protección y restauración de la biodiversidad y los ecosistemas”. Asimismo, contribuyen a alcanzar los objetivos climáticos en un 40% y los medioambientales en un 100% (de acuerdo con el anexo VI del Reglamento (UE) 2021/241 por el que se establece el Mecanismo de Recuperación y Resiliencia, Campo de intervención 050).</w:t>
      </w:r>
    </w:p>
    <w:p w:rsidR="00101E22" w:rsidRPr="00DE3E85" w:rsidRDefault="00101E22" w:rsidP="00101E22">
      <w:pPr>
        <w:suppressAutoHyphens/>
        <w:autoSpaceDE w:val="0"/>
        <w:autoSpaceDN w:val="0"/>
        <w:spacing w:before="120" w:after="120" w:line="360" w:lineRule="auto"/>
        <w:jc w:val="both"/>
        <w:rPr>
          <w:rFonts w:cstheme="minorHAnsi"/>
        </w:rPr>
      </w:pPr>
      <w:r w:rsidRPr="00DE3E85">
        <w:rPr>
          <w:rFonts w:cstheme="minorHAnsi"/>
        </w:rPr>
        <w:t>Por otra parte, se indica expresamente que esta actuación cumple con la normativa ambiental aplicable, y en concreto con la Ley 42/2007 del Patrimonio Natural y de la Biodiversidad, el Real Decreto 1432/2008, de 29 de agosto, por el que se establecen medidas para la protección de la avifauna contra la electrocución en líneas eléctricas de alta tensión y el Decreto 89/2012, de 28 de junio, de la Región de Murcia, por el que se establecen las normas adicionales aplicables a las instalaciones eléctricas áreas de alta tensión con objeto de proteger la avifauna y atenuar los impactos ambientales (BORM de 2 de julio de 2012).</w:t>
      </w:r>
    </w:p>
    <w:p w:rsidR="00101E22" w:rsidRPr="00DE3E85" w:rsidRDefault="00101E22" w:rsidP="00101E22">
      <w:pPr>
        <w:suppressAutoHyphens/>
        <w:autoSpaceDE w:val="0"/>
        <w:autoSpaceDN w:val="0"/>
        <w:spacing w:before="120" w:after="120" w:line="360" w:lineRule="auto"/>
        <w:jc w:val="both"/>
        <w:rPr>
          <w:rFonts w:cstheme="minorHAnsi"/>
        </w:rPr>
      </w:pPr>
      <w:r w:rsidRPr="00DE3E85">
        <w:rPr>
          <w:rFonts w:cstheme="minorHAnsi"/>
        </w:rPr>
        <w:t xml:space="preserve">En el expediente de esta convocatoria se incluye cuestionario de autoevaluación del Anexo II, de la “Guía para el diseño de actuaciones acordes con el principio de no causar un perjuicio significativo al medio ambiente” (Ministerio para la Transición Ecológica y el Reto Demográfico), </w:t>
      </w:r>
      <w:r w:rsidRPr="00DE3E85">
        <w:rPr>
          <w:rFonts w:cstheme="minorHAnsi"/>
        </w:rPr>
        <w:lastRenderedPageBreak/>
        <w:t>que incluye: Sección 0 de datos generales y Sección 2 para Actividades de bajo impacto ambiental.</w:t>
      </w:r>
    </w:p>
    <w:p w:rsidR="00101E22" w:rsidRPr="00DE3E85" w:rsidRDefault="00101E22" w:rsidP="00101E22">
      <w:pPr>
        <w:suppressAutoHyphens/>
        <w:autoSpaceDE w:val="0"/>
        <w:autoSpaceDN w:val="0"/>
        <w:spacing w:before="120" w:after="120" w:line="360" w:lineRule="auto"/>
        <w:jc w:val="both"/>
        <w:rPr>
          <w:rFonts w:cstheme="minorHAnsi"/>
        </w:rPr>
      </w:pPr>
      <w:r w:rsidRPr="00DE3E85">
        <w:rPr>
          <w:rFonts w:cstheme="minorHAnsi"/>
        </w:rPr>
        <w:t>Se informa al beneficiario de que ha de cumplir con el principio de no causar perjuicio significativo sobre el medio ambiente, en el sentido del artículo 17 del Reglamento 2020/852 y se le requiere en el momento de adjudicación o formalización del contrato la Declaración responsable del Anexo III de la “Guía para el diseño de actuaciones acordes con el principio de no causar un perjuicio significativo al medio ambiente” (Ministerio para la Transición Ecológica y el Reto Demográfico).</w:t>
      </w:r>
    </w:p>
    <w:p w:rsidR="00101E22" w:rsidRPr="00DE3E85" w:rsidRDefault="00101E22" w:rsidP="00101E22">
      <w:pPr>
        <w:spacing w:line="360" w:lineRule="auto"/>
        <w:jc w:val="both"/>
        <w:rPr>
          <w:rFonts w:cstheme="minorHAnsi"/>
        </w:rPr>
      </w:pPr>
      <w:r w:rsidRPr="00DE3E85">
        <w:rPr>
          <w:rFonts w:cstheme="minorHAnsi"/>
        </w:rPr>
        <w:t>Por otra parte, para asegurar que los beneficiarios cumplan con el principio de “no causar un perjuicio significativo al medio ambiente”, así como con el resto de los principios de obligado cumplimiento vinculados a la ejecución de este plan, éstos deberán cumplimentar una declaración responsable que se formalizará mediante la cumplimentación del</w:t>
      </w:r>
      <w:r w:rsidRPr="00DE3E85">
        <w:rPr>
          <w:rFonts w:cstheme="minorHAnsi"/>
          <w:b/>
        </w:rPr>
        <w:t xml:space="preserve"> ANEXO VI.C de la Orden HFP 1030/2021</w:t>
      </w:r>
      <w:r w:rsidRPr="00DE3E85">
        <w:rPr>
          <w:rFonts w:cstheme="minorHAnsi"/>
        </w:rPr>
        <w:t>, Modelo declaración de compromiso de cumplimento de compromisos transversales en relación con la ejecución de actuaciones del Plan de Recuperación Transformación y Resiliencia.</w:t>
      </w:r>
    </w:p>
    <w:p w:rsidR="00101E22" w:rsidRPr="00DE3E85" w:rsidRDefault="00101E22" w:rsidP="00101E22">
      <w:pPr>
        <w:spacing w:line="360" w:lineRule="auto"/>
        <w:jc w:val="both"/>
        <w:rPr>
          <w:rFonts w:cstheme="minorHAnsi"/>
          <w:b/>
          <w:u w:val="single"/>
        </w:rPr>
      </w:pPr>
      <w:r w:rsidRPr="00DE3E85">
        <w:rPr>
          <w:rFonts w:cstheme="minorHAnsi"/>
          <w:b/>
          <w:u w:val="single"/>
        </w:rPr>
        <w:t>IDENTIFICACIÓN DEL BENEFICIARIO FINAL</w:t>
      </w:r>
    </w:p>
    <w:p w:rsidR="00101E22" w:rsidRPr="00DE3E85" w:rsidRDefault="00101E22" w:rsidP="00101E22">
      <w:pPr>
        <w:spacing w:line="360" w:lineRule="auto"/>
        <w:jc w:val="both"/>
        <w:rPr>
          <w:rFonts w:cstheme="minorHAnsi"/>
          <w:sz w:val="23"/>
          <w:szCs w:val="23"/>
        </w:rPr>
      </w:pPr>
      <w:r w:rsidRPr="00DE3E85">
        <w:rPr>
          <w:rFonts w:cstheme="minorHAnsi"/>
          <w:sz w:val="23"/>
          <w:szCs w:val="23"/>
        </w:rPr>
        <w:t>De acuerdo con el artículo 10 de la Orden HFP/1031/2021, de 29 de septiembre, establece la obligación de todas las entidades ejecutoras del PRTR de aportar la información sobre el nombre y fecha de nacimiento del titular real</w:t>
      </w:r>
      <w:r w:rsidRPr="00DE3E85">
        <w:rPr>
          <w:rFonts w:cstheme="minorHAnsi"/>
          <w:sz w:val="16"/>
          <w:szCs w:val="16"/>
        </w:rPr>
        <w:t xml:space="preserve"> </w:t>
      </w:r>
      <w:r w:rsidRPr="00DE3E85">
        <w:rPr>
          <w:rFonts w:cstheme="minorHAnsi"/>
          <w:sz w:val="23"/>
          <w:szCs w:val="23"/>
        </w:rPr>
        <w:t>de la subvención</w:t>
      </w:r>
      <w:r w:rsidRPr="00DE3E85">
        <w:rPr>
          <w:rFonts w:cstheme="minorHAnsi"/>
        </w:rPr>
        <w:t xml:space="preserve"> </w:t>
      </w:r>
      <w:r w:rsidRPr="00DE3E85">
        <w:rPr>
          <w:rFonts w:cstheme="minorHAnsi"/>
          <w:sz w:val="23"/>
          <w:szCs w:val="23"/>
        </w:rPr>
        <w:t>con la finalidad de dar cumplimiento a la exigencia del artículo 22.d) del Reglamento (UE) 2021/241 del Parlamento Europeo y del Consejo, de 12 de febrero de 2021.</w:t>
      </w:r>
    </w:p>
    <w:p w:rsidR="00101E22" w:rsidRPr="00DE3E85" w:rsidRDefault="00101E22" w:rsidP="00101E22">
      <w:pPr>
        <w:autoSpaceDE w:val="0"/>
        <w:autoSpaceDN w:val="0"/>
        <w:adjustRightInd w:val="0"/>
        <w:spacing w:after="0" w:line="360" w:lineRule="auto"/>
        <w:jc w:val="both"/>
        <w:rPr>
          <w:rFonts w:cstheme="minorHAnsi"/>
        </w:rPr>
      </w:pPr>
      <w:r w:rsidRPr="00DE3E85">
        <w:rPr>
          <w:rFonts w:cstheme="minorHAnsi"/>
        </w:rPr>
        <w:t>En base a ello, se establece por parte del órgano concedente de la obligación de recabar y asegurar el acceso de los siguientes datos en relación a los beneficiarios finales:</w:t>
      </w:r>
    </w:p>
    <w:p w:rsidR="00101E22" w:rsidRPr="00DE3E85" w:rsidRDefault="00101E22" w:rsidP="00101E22">
      <w:pPr>
        <w:autoSpaceDE w:val="0"/>
        <w:autoSpaceDN w:val="0"/>
        <w:adjustRightInd w:val="0"/>
        <w:spacing w:after="0" w:line="360" w:lineRule="auto"/>
        <w:jc w:val="both"/>
        <w:rPr>
          <w:rFonts w:cstheme="minorHAnsi"/>
        </w:rPr>
      </w:pPr>
    </w:p>
    <w:p w:rsidR="00101E22" w:rsidRPr="00DE3E85" w:rsidRDefault="00101E22" w:rsidP="00101E22">
      <w:pPr>
        <w:pStyle w:val="Prrafodelista"/>
        <w:numPr>
          <w:ilvl w:val="0"/>
          <w:numId w:val="1"/>
        </w:numPr>
        <w:autoSpaceDE w:val="0"/>
        <w:autoSpaceDN w:val="0"/>
        <w:adjustRightInd w:val="0"/>
        <w:spacing w:after="0" w:line="360" w:lineRule="auto"/>
        <w:jc w:val="both"/>
        <w:rPr>
          <w:rFonts w:cstheme="minorHAnsi"/>
        </w:rPr>
      </w:pPr>
      <w:r w:rsidRPr="00DE3E85">
        <w:rPr>
          <w:rFonts w:cstheme="minorHAnsi"/>
        </w:rPr>
        <w:t xml:space="preserve">El nombre del perceptor final de los fondos. </w:t>
      </w:r>
    </w:p>
    <w:p w:rsidR="00101E22" w:rsidRPr="00DE3E85" w:rsidRDefault="00101E22" w:rsidP="00101E22">
      <w:pPr>
        <w:pStyle w:val="Prrafodelista"/>
        <w:numPr>
          <w:ilvl w:val="0"/>
          <w:numId w:val="1"/>
        </w:numPr>
        <w:autoSpaceDE w:val="0"/>
        <w:autoSpaceDN w:val="0"/>
        <w:adjustRightInd w:val="0"/>
        <w:spacing w:after="0" w:line="360" w:lineRule="auto"/>
        <w:jc w:val="both"/>
        <w:rPr>
          <w:rFonts w:cstheme="minorHAnsi"/>
        </w:rPr>
      </w:pPr>
      <w:r w:rsidRPr="00DE3E85">
        <w:rPr>
          <w:rFonts w:cstheme="minorHAnsi"/>
        </w:rPr>
        <w:t>El nombre del contratista y del subcontratista, cuando el perceptor final de los fondos sea un poder adjudicador de conformidad con el Derecho de la Unión o nacional en materia de contratación pública.</w:t>
      </w:r>
    </w:p>
    <w:p w:rsidR="00101E22" w:rsidRPr="00DE3E85" w:rsidRDefault="00101E22" w:rsidP="00101E22">
      <w:pPr>
        <w:pStyle w:val="Prrafodelista"/>
        <w:numPr>
          <w:ilvl w:val="0"/>
          <w:numId w:val="1"/>
        </w:numPr>
        <w:autoSpaceDE w:val="0"/>
        <w:autoSpaceDN w:val="0"/>
        <w:adjustRightInd w:val="0"/>
        <w:spacing w:after="0" w:line="360" w:lineRule="auto"/>
        <w:jc w:val="both"/>
        <w:rPr>
          <w:rFonts w:cstheme="minorHAnsi"/>
        </w:rPr>
      </w:pPr>
      <w:r w:rsidRPr="00DE3E85">
        <w:rPr>
          <w:rFonts w:cstheme="minorHAnsi"/>
        </w:rPr>
        <w:t xml:space="preserve">Los nombres, apellidos y fechas de nacimiento de los titulares reales del perceptor de los fondos o del contratista, según se define en el artículo 3, punto 6, de la Directiva (UE) 2015/849 del Parlamento Europeo y del Consejo. </w:t>
      </w:r>
    </w:p>
    <w:p w:rsidR="00101E22" w:rsidRPr="00DE3E85" w:rsidRDefault="00101E22" w:rsidP="00101E22">
      <w:pPr>
        <w:pStyle w:val="Prrafodelista"/>
        <w:numPr>
          <w:ilvl w:val="0"/>
          <w:numId w:val="1"/>
        </w:numPr>
        <w:autoSpaceDE w:val="0"/>
        <w:autoSpaceDN w:val="0"/>
        <w:adjustRightInd w:val="0"/>
        <w:spacing w:after="0" w:line="360" w:lineRule="auto"/>
        <w:jc w:val="both"/>
        <w:rPr>
          <w:rFonts w:cstheme="minorHAnsi"/>
        </w:rPr>
      </w:pPr>
      <w:r w:rsidRPr="00DE3E85">
        <w:rPr>
          <w:rFonts w:cstheme="minorHAnsi"/>
        </w:rPr>
        <w:t xml:space="preserve">Una lista de medidas para la ejecución de reformas y proyectos de inversión en el marco del plan de recuperación y resiliencia, junto con el importe total de la </w:t>
      </w:r>
      <w:r w:rsidRPr="00DE3E85">
        <w:rPr>
          <w:rFonts w:cstheme="minorHAnsi"/>
        </w:rPr>
        <w:lastRenderedPageBreak/>
        <w:t xml:space="preserve">financiación pública de dichas medidas y que indique la cuantía de los fondos desembolsados en el marco del Mecanismo y de otros fondos de la Unión. </w:t>
      </w:r>
    </w:p>
    <w:p w:rsidR="006448DC" w:rsidRDefault="006448DC" w:rsidP="00101E22">
      <w:pPr>
        <w:autoSpaceDE w:val="0"/>
        <w:autoSpaceDN w:val="0"/>
        <w:adjustRightInd w:val="0"/>
        <w:spacing w:after="0" w:line="360" w:lineRule="auto"/>
        <w:jc w:val="both"/>
        <w:rPr>
          <w:rFonts w:cstheme="minorHAnsi"/>
        </w:rPr>
      </w:pPr>
    </w:p>
    <w:p w:rsidR="00101E22" w:rsidRPr="00DE3E85" w:rsidRDefault="00101E22" w:rsidP="00101E22">
      <w:pPr>
        <w:autoSpaceDE w:val="0"/>
        <w:autoSpaceDN w:val="0"/>
        <w:adjustRightInd w:val="0"/>
        <w:spacing w:after="0" w:line="360" w:lineRule="auto"/>
        <w:jc w:val="both"/>
        <w:rPr>
          <w:rFonts w:cstheme="minorHAnsi"/>
        </w:rPr>
      </w:pPr>
      <w:r w:rsidRPr="00DE3E85">
        <w:rPr>
          <w:rFonts w:cstheme="minorHAnsi"/>
        </w:rPr>
        <w:t>A efectos de dar cumplimiento a lo previsto en el artículo 22.2.d) del RMRR, respecto a cada uno de los citados puntos, se informa a los solicitantes sobre:</w:t>
      </w:r>
    </w:p>
    <w:p w:rsidR="00101E22" w:rsidRPr="00DE3E85" w:rsidRDefault="00101E22" w:rsidP="00101E22">
      <w:pPr>
        <w:pStyle w:val="Prrafodelista"/>
        <w:numPr>
          <w:ilvl w:val="0"/>
          <w:numId w:val="2"/>
        </w:numPr>
        <w:autoSpaceDE w:val="0"/>
        <w:autoSpaceDN w:val="0"/>
        <w:adjustRightInd w:val="0"/>
        <w:spacing w:after="0" w:line="360" w:lineRule="auto"/>
        <w:jc w:val="both"/>
        <w:rPr>
          <w:rFonts w:cstheme="minorHAnsi"/>
        </w:rPr>
      </w:pPr>
      <w:r w:rsidRPr="00DE3E85">
        <w:rPr>
          <w:rFonts w:cstheme="minorHAnsi"/>
        </w:rPr>
        <w:t xml:space="preserve">El registro de la subvención en la Base de Datos Nacional de Subvenciones según lo previsto en el RD 130/2019. </w:t>
      </w:r>
    </w:p>
    <w:p w:rsidR="00101E22" w:rsidRPr="00DE3E85" w:rsidRDefault="00101E22" w:rsidP="00101E22">
      <w:pPr>
        <w:pStyle w:val="Prrafodelista"/>
        <w:numPr>
          <w:ilvl w:val="0"/>
          <w:numId w:val="2"/>
        </w:numPr>
        <w:autoSpaceDE w:val="0"/>
        <w:autoSpaceDN w:val="0"/>
        <w:adjustRightInd w:val="0"/>
        <w:spacing w:after="0" w:line="360" w:lineRule="auto"/>
        <w:jc w:val="both"/>
        <w:rPr>
          <w:rFonts w:cstheme="minorHAnsi"/>
        </w:rPr>
      </w:pPr>
      <w:r w:rsidRPr="00DE3E85">
        <w:rPr>
          <w:rFonts w:cstheme="minorHAnsi"/>
        </w:rPr>
        <w:t xml:space="preserve">La posibilidad de acceso de la Administración y de cuantos órganos se contemplan en el artículo 22 del RMRR a la información contenida en el Registro de Titularidades Reales, creado por la Orden JUS/319/2018, o el acceso a otras bases de datos de la Administración que puedan suministrar dichos datos sobre los titulares reales. </w:t>
      </w:r>
    </w:p>
    <w:p w:rsidR="00101E22" w:rsidRPr="00DE3E85" w:rsidRDefault="00101E22" w:rsidP="00101E22">
      <w:pPr>
        <w:pStyle w:val="Prrafodelista"/>
        <w:numPr>
          <w:ilvl w:val="0"/>
          <w:numId w:val="2"/>
        </w:numPr>
        <w:autoSpaceDE w:val="0"/>
        <w:autoSpaceDN w:val="0"/>
        <w:adjustRightInd w:val="0"/>
        <w:spacing w:after="0" w:line="360" w:lineRule="auto"/>
        <w:jc w:val="both"/>
        <w:rPr>
          <w:rFonts w:cstheme="minorHAnsi"/>
        </w:rPr>
      </w:pPr>
      <w:r w:rsidRPr="00DE3E85">
        <w:rPr>
          <w:rFonts w:cstheme="minorHAnsi"/>
        </w:rPr>
        <w:t xml:space="preserve">La cesión de información entre estos sistemas y el Sistema de Fondos Europeos, según las previsiones contenidas en la normativa europea y nacional aplicable. </w:t>
      </w:r>
    </w:p>
    <w:p w:rsidR="00101E22" w:rsidRPr="00DE3E85" w:rsidRDefault="00101E22" w:rsidP="00101E22">
      <w:pPr>
        <w:autoSpaceDE w:val="0"/>
        <w:autoSpaceDN w:val="0"/>
        <w:adjustRightInd w:val="0"/>
        <w:spacing w:after="0" w:line="360" w:lineRule="auto"/>
        <w:ind w:left="753"/>
        <w:jc w:val="both"/>
        <w:rPr>
          <w:rFonts w:cstheme="minorHAnsi"/>
        </w:rPr>
      </w:pPr>
    </w:p>
    <w:p w:rsidR="00101E22" w:rsidRPr="00DE3E85" w:rsidRDefault="00101E22" w:rsidP="00101E22">
      <w:pPr>
        <w:autoSpaceDE w:val="0"/>
        <w:autoSpaceDN w:val="0"/>
        <w:adjustRightInd w:val="0"/>
        <w:spacing w:after="0" w:line="360" w:lineRule="auto"/>
        <w:jc w:val="both"/>
        <w:rPr>
          <w:rFonts w:cstheme="minorHAnsi"/>
        </w:rPr>
      </w:pPr>
      <w:r w:rsidRPr="00DE3E85">
        <w:rPr>
          <w:rFonts w:cstheme="minorHAnsi"/>
        </w:rPr>
        <w:t>Asimismo, se establece la obligación por parte del beneficiario de suministrar de los datos sobre perceptor final de los fondos, cuando no sea el mismo, y de los contratistas y subcontratistas en el caso de que el perceptor final sea un poder adjudicador. Adicionalmente, se tendrá en cuenta que conforme a lo indicado en el artículo 7 de la Orden HFP/55/2023, de 24 de enero, relativa al análisis sistemático del riesgo de conflicto de interés en los procedimientos que ejecutan el Plan de Recuperación, Transformación y Resiliencia, que se solicitará a los participantes en los procedimientos, la información de su titularidad real, siempre que la AEAT no disponga de la información de titularidades reales de la empresa objeto de consulta y así se lo haya indicado mediante la correspondiente bandera negra al responsable de la operación de que se trate. Esta información deberá aportarse al órgano de concesión de subvenciones en el plazo de 5 días hábiles desde que se formule la solicitud de información. La falta de entrega de dicha información en el plazo señalado será motivo de exclusión del procedimiento en el que esté participando.</w:t>
      </w:r>
    </w:p>
    <w:p w:rsidR="00101E22" w:rsidRPr="00DE3E85" w:rsidRDefault="00101E22" w:rsidP="00101E22">
      <w:pPr>
        <w:autoSpaceDE w:val="0"/>
        <w:autoSpaceDN w:val="0"/>
        <w:adjustRightInd w:val="0"/>
        <w:spacing w:after="0" w:line="360" w:lineRule="auto"/>
        <w:jc w:val="both"/>
        <w:rPr>
          <w:rFonts w:cstheme="minorHAnsi"/>
          <w:b/>
        </w:rPr>
      </w:pPr>
      <w:r w:rsidRPr="00DE3E85">
        <w:rPr>
          <w:rFonts w:cstheme="minorHAnsi"/>
        </w:rPr>
        <w:t xml:space="preserve">Igualmente, el beneficiario de acepta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w:t>
      </w:r>
      <w:r w:rsidRPr="00DE3E85">
        <w:rPr>
          <w:rFonts w:cstheme="minorHAnsi"/>
          <w:b/>
        </w:rPr>
        <w:t>y suscribir el Anexo IV-B Cesión y Tratamiento de datos de la Orden HFP 1030/2021.</w:t>
      </w:r>
    </w:p>
    <w:p w:rsidR="00101E22" w:rsidRPr="00DE3E85" w:rsidRDefault="00101E22" w:rsidP="00101E22">
      <w:pPr>
        <w:autoSpaceDE w:val="0"/>
        <w:autoSpaceDN w:val="0"/>
        <w:adjustRightInd w:val="0"/>
        <w:spacing w:after="0" w:line="360" w:lineRule="auto"/>
        <w:jc w:val="both"/>
        <w:rPr>
          <w:rFonts w:cstheme="minorHAnsi"/>
        </w:rPr>
      </w:pPr>
      <w:r w:rsidRPr="00DE3E85">
        <w:rPr>
          <w:rFonts w:cstheme="minorHAnsi"/>
        </w:rPr>
        <w:t xml:space="preserve">En dicho anexo el beneficiario sobre la cesión de datos y tratamiento de datos y sobre el suministro de la información por parte del beneficiario de los datos sobre perceptor final de los </w:t>
      </w:r>
      <w:r w:rsidRPr="00DE3E85">
        <w:rPr>
          <w:rFonts w:cstheme="minorHAnsi"/>
        </w:rPr>
        <w:lastRenderedPageBreak/>
        <w:t>fondos, y cuando no sea el mismo, y de los contratistas y subcontratistas en el caso de que el perceptor final sea un poder adjudicador.</w:t>
      </w:r>
    </w:p>
    <w:p w:rsidR="00101E22" w:rsidRPr="00DE3E85" w:rsidRDefault="00101E22" w:rsidP="00101E22">
      <w:pPr>
        <w:autoSpaceDE w:val="0"/>
        <w:autoSpaceDN w:val="0"/>
        <w:adjustRightInd w:val="0"/>
        <w:spacing w:after="0" w:line="360" w:lineRule="auto"/>
        <w:jc w:val="both"/>
        <w:rPr>
          <w:rFonts w:cstheme="minorHAnsi"/>
        </w:rPr>
      </w:pPr>
      <w:r w:rsidRPr="00DE3E85">
        <w:rPr>
          <w:rFonts w:cstheme="minorHAnsi"/>
        </w:rPr>
        <w:t>La Autoridad Responsable tendrá acceso a la información residenciada en otros sistemas, en particular la Base de Datos Nacional de Subvenciones, la Plataforma de Contratación del Sector Público y el Registro de Titularidades Reales, estando facultada para incorporar al sistema la documentación que estime oportuno atendiendo al ámbito de competencia.</w:t>
      </w:r>
    </w:p>
    <w:p w:rsidR="00101E22" w:rsidRPr="00DE3E85" w:rsidRDefault="00101E22" w:rsidP="00101E22">
      <w:pPr>
        <w:autoSpaceDE w:val="0"/>
        <w:autoSpaceDN w:val="0"/>
        <w:adjustRightInd w:val="0"/>
        <w:spacing w:after="0" w:line="360" w:lineRule="auto"/>
        <w:jc w:val="both"/>
        <w:rPr>
          <w:rFonts w:cstheme="minorHAnsi"/>
        </w:rPr>
      </w:pPr>
      <w:r w:rsidRPr="00DE3E85">
        <w:rPr>
          <w:rFonts w:cstheme="minorHAnsi"/>
        </w:rPr>
        <w:t>Asimismo se informa a los solicitantes sobre la cesión de información entre estos sistemas y el Sistema de Fondos Europeos, según las previsiones contenidas en la normativa europea y nacional aplicable y el compromiso escrito del beneficiario sobre la concesión de los derechos y accesos necesarios para garantizar que la Comisión, la OLAF, el Tribunal de Cuentas Europeo, la Fiscalía Europea y las autoridades nacionales competentes ejerzan sus competencias.</w:t>
      </w:r>
    </w:p>
    <w:p w:rsidR="00101E22" w:rsidRPr="00DE3E85" w:rsidRDefault="00101E22" w:rsidP="00101E22">
      <w:pPr>
        <w:spacing w:line="360" w:lineRule="auto"/>
        <w:jc w:val="both"/>
        <w:rPr>
          <w:rFonts w:cstheme="minorHAnsi"/>
          <w:b/>
          <w:u w:val="single"/>
        </w:rPr>
      </w:pPr>
      <w:r w:rsidRPr="00DE3E85">
        <w:rPr>
          <w:rFonts w:cstheme="minorHAnsi"/>
          <w:b/>
          <w:u w:val="single"/>
        </w:rPr>
        <w:t>SUJECIÓN A LOS CONTROLES DE LOS ORGANISMOS EUROPEOS</w:t>
      </w:r>
    </w:p>
    <w:p w:rsidR="00101E22" w:rsidRPr="00DE3E85" w:rsidRDefault="00101E22" w:rsidP="00101E22">
      <w:pPr>
        <w:spacing w:line="360" w:lineRule="auto"/>
        <w:jc w:val="both"/>
        <w:rPr>
          <w:rFonts w:cstheme="minorHAnsi"/>
        </w:rPr>
      </w:pPr>
      <w:r w:rsidRPr="00DE3E85">
        <w:rPr>
          <w:rFonts w:cstheme="minorHAnsi"/>
        </w:rPr>
        <w:t xml:space="preserve">La letra e) del apartado 2 del artículo 22 del RMRR y el artículo 129 del Reglamento Financiero (Reglamento (UE, </w:t>
      </w:r>
      <w:proofErr w:type="spellStart"/>
      <w:r w:rsidRPr="00DE3E85">
        <w:rPr>
          <w:rFonts w:cstheme="minorHAnsi"/>
        </w:rPr>
        <w:t>Euratom</w:t>
      </w:r>
      <w:proofErr w:type="spellEnd"/>
      <w:r w:rsidRPr="00DE3E85">
        <w:rPr>
          <w:rFonts w:cstheme="minorHAnsi"/>
        </w:rPr>
        <w:t>) 2018/1046 del Parlamento Europeo y del Consejo, de 18 de julio de 2018) establece la condición de que la percepción de fondos del Plan de Recuperación y Resiliencia esté condicionada a que los perceptores finales se comprometan por escrito a conceder los derechos y los accesos necesarios para garantizar que la Comisión, la OLAF, el Tribunal de Cuentas Europeo, la Fiscalía Europea y las autoridades nacionales competentes ejerzan sus competencias. En estas bases se prevé expresamente el condicionamiento de la concesión de la ayuda, al compromiso escrito de la concesión y accesos que se citan en el párrafo anterior.</w:t>
      </w:r>
    </w:p>
    <w:p w:rsidR="00101E22" w:rsidRPr="00DE3E85" w:rsidRDefault="00101E22" w:rsidP="00101E22">
      <w:pPr>
        <w:spacing w:line="360" w:lineRule="auto"/>
        <w:jc w:val="both"/>
        <w:rPr>
          <w:rFonts w:cstheme="minorHAnsi"/>
          <w:b/>
          <w:u w:val="single"/>
        </w:rPr>
      </w:pPr>
      <w:r w:rsidRPr="00DE3E85">
        <w:rPr>
          <w:rFonts w:cstheme="minorHAnsi"/>
          <w:b/>
          <w:u w:val="single"/>
        </w:rPr>
        <w:t>CONSERVACIÓN DE DOCUMENTOS</w:t>
      </w:r>
    </w:p>
    <w:p w:rsidR="00101E22" w:rsidRPr="00DE3E85" w:rsidRDefault="00101E22" w:rsidP="00101E22">
      <w:pPr>
        <w:spacing w:line="360" w:lineRule="auto"/>
        <w:jc w:val="both"/>
        <w:rPr>
          <w:rFonts w:cstheme="minorHAnsi"/>
        </w:rPr>
      </w:pPr>
      <w:r w:rsidRPr="00DE3E85">
        <w:rPr>
          <w:rFonts w:cstheme="minorHAnsi"/>
        </w:rPr>
        <w:t xml:space="preserve">La letra f) del apartado 2 del artículo 22 del RMRR establece la obligación del estado miembro de conservar los documentos de conformidad con lo previsto en el artículo 132 del Reglamento Financiero. 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 Por tanto existe la obligación de los beneficiarios de conservar los documentos en los plazos y formatos señalados en el artículo 132 del Reglamento Financiero. </w:t>
      </w:r>
    </w:p>
    <w:p w:rsidR="00101E22" w:rsidRPr="00DE3E85" w:rsidRDefault="00101E22" w:rsidP="00101E22">
      <w:pPr>
        <w:spacing w:line="360" w:lineRule="auto"/>
        <w:jc w:val="both"/>
        <w:rPr>
          <w:rFonts w:cstheme="minorHAnsi"/>
          <w:b/>
          <w:u w:val="single"/>
        </w:rPr>
      </w:pPr>
      <w:r w:rsidRPr="00DE3E85">
        <w:rPr>
          <w:rFonts w:cstheme="minorHAnsi"/>
          <w:b/>
          <w:u w:val="single"/>
        </w:rPr>
        <w:t xml:space="preserve">INFORMACIÓN, COMUNICACIÓN Y PUBLICIDAD </w:t>
      </w:r>
    </w:p>
    <w:p w:rsidR="00101E22" w:rsidRPr="00DE3E85" w:rsidRDefault="00101E22" w:rsidP="00101E22">
      <w:pPr>
        <w:spacing w:line="360" w:lineRule="auto"/>
        <w:jc w:val="both"/>
        <w:rPr>
          <w:rFonts w:cstheme="minorHAnsi"/>
        </w:rPr>
      </w:pPr>
      <w:r w:rsidRPr="00DE3E85">
        <w:rPr>
          <w:rFonts w:cstheme="minorHAnsi"/>
        </w:rPr>
        <w:t xml:space="preserve">Mediante la correspondiente resolución de concesión de subvención se procederá a comunicar a los beneficiarios y destinatarios finales el origen de la financiación de esta actuación por parte </w:t>
      </w:r>
      <w:r w:rsidRPr="00DE3E85">
        <w:rPr>
          <w:rFonts w:cstheme="minorHAnsi"/>
        </w:rPr>
        <w:lastRenderedPageBreak/>
        <w:t>de la Unión Europea, mediante el Mecanismo de Recuperación y Resiliencia (MRR), así como que han de dar la visibilidad de la financiación de la Unión.</w:t>
      </w:r>
    </w:p>
    <w:p w:rsidR="00101E22" w:rsidRDefault="00101E22" w:rsidP="00101E22">
      <w:pPr>
        <w:spacing w:line="360" w:lineRule="auto"/>
        <w:jc w:val="both"/>
        <w:rPr>
          <w:rFonts w:cstheme="minorHAnsi"/>
        </w:rPr>
      </w:pPr>
      <w:r w:rsidRPr="00DE3E85">
        <w:rPr>
          <w:rFonts w:cstheme="minorHAnsi"/>
        </w:rPr>
        <w:t xml:space="preserve">El apartado 2 del artículo 34 del RMRR establece que los perceptores de los fondos de la Unión harán mención del origen de esta financiación y velarán por darle visibilidad, incluido, cuando proceda, mediante el emblema de la Unión y una declaración de financiación adecuada que indique «financiado por la Unión Europea – </w:t>
      </w:r>
      <w:proofErr w:type="spellStart"/>
      <w:r w:rsidRPr="00DE3E85">
        <w:rPr>
          <w:rFonts w:cstheme="minorHAnsi"/>
        </w:rPr>
        <w:t>Next</w:t>
      </w:r>
      <w:proofErr w:type="spellEnd"/>
      <w:r w:rsidRPr="00DE3E85">
        <w:rPr>
          <w:rFonts w:cstheme="minorHAnsi"/>
        </w:rPr>
        <w:t xml:space="preserve"> </w:t>
      </w:r>
      <w:proofErr w:type="spellStart"/>
      <w:r w:rsidRPr="00DE3E85">
        <w:rPr>
          <w:rFonts w:cstheme="minorHAnsi"/>
        </w:rPr>
        <w:t>Generation</w:t>
      </w:r>
      <w:proofErr w:type="spellEnd"/>
      <w:r w:rsidRPr="00DE3E85">
        <w:rPr>
          <w:rFonts w:cstheme="minorHAnsi"/>
        </w:rPr>
        <w:t xml:space="preserve"> EU, en particular cuando promuevan las acciones y sus resultados, facilitando información coherente, efectiva y proporcionada dirigida a múltiples destinatarios, incluidos los medios de comunicación y el público. Las bases de esta convocatoria establecen la obligación por parte de los beneficiarios de subvenciones, teniendo en cuenta, en su caso, los requisitos que se establezcan en el Acuerdo de Financiación con la Comisión, en el artículo 9 de la Orden HFP/1030/2021, de 29 de septiembre y en el Plan de comunicación previsto en el PRTR. </w:t>
      </w:r>
    </w:p>
    <w:tbl>
      <w:tblPr>
        <w:tblStyle w:val="Tablaconcuadrcula"/>
        <w:tblW w:w="10201" w:type="dxa"/>
        <w:tblInd w:w="-714" w:type="dxa"/>
        <w:tblLayout w:type="fixed"/>
        <w:tblLook w:val="04A0" w:firstRow="1" w:lastRow="0" w:firstColumn="1" w:lastColumn="0" w:noHBand="0" w:noVBand="1"/>
      </w:tblPr>
      <w:tblGrid>
        <w:gridCol w:w="1129"/>
        <w:gridCol w:w="567"/>
        <w:gridCol w:w="567"/>
        <w:gridCol w:w="993"/>
        <w:gridCol w:w="1134"/>
        <w:gridCol w:w="3402"/>
        <w:gridCol w:w="329"/>
        <w:gridCol w:w="1088"/>
        <w:gridCol w:w="992"/>
      </w:tblGrid>
      <w:tr w:rsidR="00E76D8B" w:rsidRPr="00E76D8B" w:rsidTr="006448DC">
        <w:tc>
          <w:tcPr>
            <w:tcW w:w="10201"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76D8B" w:rsidRPr="00E76D8B" w:rsidRDefault="00E76D8B" w:rsidP="00E76D8B">
            <w:pPr>
              <w:spacing w:after="160" w:line="360" w:lineRule="auto"/>
              <w:jc w:val="both"/>
              <w:rPr>
                <w:rFonts w:cstheme="minorHAnsi"/>
                <w:b/>
                <w:i/>
              </w:rPr>
            </w:pPr>
            <w:r>
              <w:rPr>
                <w:rFonts w:cstheme="minorHAnsi"/>
                <w:b/>
                <w:i/>
              </w:rPr>
              <w:t>1. Datos del subcontratista</w:t>
            </w:r>
          </w:p>
        </w:tc>
      </w:tr>
      <w:tr w:rsidR="00E76D8B" w:rsidRPr="00E76D8B" w:rsidTr="006448DC">
        <w:tc>
          <w:tcPr>
            <w:tcW w:w="8121" w:type="dxa"/>
            <w:gridSpan w:val="7"/>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bCs/>
                <w:i/>
              </w:rPr>
              <w:t>Nombre y Apellidos / Razón o Denominación Social</w:t>
            </w:r>
          </w:p>
        </w:tc>
        <w:tc>
          <w:tcPr>
            <w:tcW w:w="2080" w:type="dxa"/>
            <w:gridSpan w:val="2"/>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bCs/>
                <w:i/>
              </w:rPr>
              <w:t>DNI/NIF/NIE</w:t>
            </w:r>
          </w:p>
        </w:tc>
      </w:tr>
      <w:tr w:rsidR="00E76D8B" w:rsidRPr="00E76D8B" w:rsidTr="006448DC">
        <w:tc>
          <w:tcPr>
            <w:tcW w:w="8121" w:type="dxa"/>
            <w:gridSpan w:val="7"/>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2080" w:type="dxa"/>
            <w:gridSpan w:val="2"/>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r>
      <w:tr w:rsidR="00E76D8B" w:rsidRPr="00E76D8B" w:rsidTr="006448DC">
        <w:tc>
          <w:tcPr>
            <w:tcW w:w="1696" w:type="dxa"/>
            <w:gridSpan w:val="2"/>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bCs/>
                <w:i/>
              </w:rPr>
              <w:t>Tipo Vía</w:t>
            </w:r>
          </w:p>
        </w:tc>
        <w:tc>
          <w:tcPr>
            <w:tcW w:w="7513" w:type="dxa"/>
            <w:gridSpan w:val="6"/>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Nombre vía pública</w:t>
            </w:r>
          </w:p>
        </w:tc>
        <w:tc>
          <w:tcPr>
            <w:tcW w:w="992" w:type="dxa"/>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Número</w:t>
            </w:r>
          </w:p>
        </w:tc>
      </w:tr>
      <w:tr w:rsidR="00E76D8B" w:rsidRPr="00E76D8B" w:rsidTr="006448DC">
        <w:tc>
          <w:tcPr>
            <w:tcW w:w="1696" w:type="dxa"/>
            <w:gridSpan w:val="2"/>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7513" w:type="dxa"/>
            <w:gridSpan w:val="6"/>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992" w:type="dxa"/>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r>
      <w:tr w:rsidR="00E76D8B" w:rsidRPr="00E76D8B" w:rsidTr="006448DC">
        <w:tc>
          <w:tcPr>
            <w:tcW w:w="1129" w:type="dxa"/>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Bloque</w:t>
            </w:r>
          </w:p>
        </w:tc>
        <w:tc>
          <w:tcPr>
            <w:tcW w:w="1134" w:type="dxa"/>
            <w:gridSpan w:val="2"/>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Escalera</w:t>
            </w:r>
          </w:p>
        </w:tc>
        <w:tc>
          <w:tcPr>
            <w:tcW w:w="993" w:type="dxa"/>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Planta</w:t>
            </w:r>
          </w:p>
        </w:tc>
        <w:tc>
          <w:tcPr>
            <w:tcW w:w="1134" w:type="dxa"/>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Puerta</w:t>
            </w:r>
          </w:p>
        </w:tc>
        <w:tc>
          <w:tcPr>
            <w:tcW w:w="5811" w:type="dxa"/>
            <w:gridSpan w:val="4"/>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Complemento domicilio / Barrio</w:t>
            </w:r>
          </w:p>
        </w:tc>
      </w:tr>
      <w:tr w:rsidR="00E76D8B" w:rsidRPr="00E76D8B" w:rsidTr="006448DC">
        <w:tc>
          <w:tcPr>
            <w:tcW w:w="1129" w:type="dxa"/>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1134" w:type="dxa"/>
            <w:gridSpan w:val="2"/>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993" w:type="dxa"/>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1134" w:type="dxa"/>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5811" w:type="dxa"/>
            <w:gridSpan w:val="4"/>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r>
      <w:tr w:rsidR="00E76D8B" w:rsidRPr="00E76D8B" w:rsidTr="006448DC">
        <w:tc>
          <w:tcPr>
            <w:tcW w:w="3256" w:type="dxa"/>
            <w:gridSpan w:val="4"/>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Municipio</w:t>
            </w:r>
          </w:p>
        </w:tc>
        <w:tc>
          <w:tcPr>
            <w:tcW w:w="4536" w:type="dxa"/>
            <w:gridSpan w:val="2"/>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Provincia</w:t>
            </w:r>
          </w:p>
        </w:tc>
        <w:tc>
          <w:tcPr>
            <w:tcW w:w="2409" w:type="dxa"/>
            <w:gridSpan w:val="3"/>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Código postal</w:t>
            </w:r>
          </w:p>
        </w:tc>
      </w:tr>
      <w:tr w:rsidR="00E76D8B" w:rsidRPr="00E76D8B" w:rsidTr="006448DC">
        <w:tc>
          <w:tcPr>
            <w:tcW w:w="3256" w:type="dxa"/>
            <w:gridSpan w:val="4"/>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4536" w:type="dxa"/>
            <w:gridSpan w:val="2"/>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2409" w:type="dxa"/>
            <w:gridSpan w:val="3"/>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r>
      <w:tr w:rsidR="00E76D8B" w:rsidRPr="00E76D8B" w:rsidTr="006448DC">
        <w:tc>
          <w:tcPr>
            <w:tcW w:w="2263" w:type="dxa"/>
            <w:gridSpan w:val="3"/>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Teléfono fijo</w:t>
            </w:r>
          </w:p>
        </w:tc>
        <w:tc>
          <w:tcPr>
            <w:tcW w:w="2127" w:type="dxa"/>
            <w:gridSpan w:val="2"/>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Móvil</w:t>
            </w:r>
          </w:p>
        </w:tc>
        <w:tc>
          <w:tcPr>
            <w:tcW w:w="5811" w:type="dxa"/>
            <w:gridSpan w:val="4"/>
            <w:tcBorders>
              <w:top w:val="single" w:sz="4" w:space="0" w:color="auto"/>
              <w:left w:val="single" w:sz="4" w:space="0" w:color="auto"/>
              <w:bottom w:val="single" w:sz="4" w:space="0" w:color="auto"/>
              <w:right w:val="single" w:sz="4" w:space="0" w:color="auto"/>
            </w:tcBorders>
            <w:hideMark/>
          </w:tcPr>
          <w:p w:rsidR="00E76D8B" w:rsidRPr="00E76D8B" w:rsidRDefault="00E76D8B" w:rsidP="00E76D8B">
            <w:pPr>
              <w:spacing w:after="160" w:line="360" w:lineRule="auto"/>
              <w:jc w:val="both"/>
              <w:rPr>
                <w:rFonts w:cstheme="minorHAnsi"/>
                <w:b/>
                <w:i/>
              </w:rPr>
            </w:pPr>
            <w:r w:rsidRPr="00E76D8B">
              <w:rPr>
                <w:rFonts w:cstheme="minorHAnsi"/>
                <w:b/>
                <w:i/>
              </w:rPr>
              <w:t>Correo electrónico</w:t>
            </w:r>
          </w:p>
        </w:tc>
      </w:tr>
      <w:tr w:rsidR="00E76D8B" w:rsidRPr="00E76D8B" w:rsidTr="006448DC">
        <w:tc>
          <w:tcPr>
            <w:tcW w:w="2263" w:type="dxa"/>
            <w:gridSpan w:val="3"/>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2127" w:type="dxa"/>
            <w:gridSpan w:val="2"/>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c>
          <w:tcPr>
            <w:tcW w:w="5811" w:type="dxa"/>
            <w:gridSpan w:val="4"/>
            <w:tcBorders>
              <w:top w:val="single" w:sz="4" w:space="0" w:color="auto"/>
              <w:left w:val="single" w:sz="4" w:space="0" w:color="auto"/>
              <w:bottom w:val="single" w:sz="4" w:space="0" w:color="auto"/>
              <w:right w:val="single" w:sz="4" w:space="0" w:color="auto"/>
            </w:tcBorders>
          </w:tcPr>
          <w:p w:rsidR="00E76D8B" w:rsidRPr="00E76D8B" w:rsidRDefault="00E76D8B" w:rsidP="00E76D8B">
            <w:pPr>
              <w:spacing w:after="160" w:line="360" w:lineRule="auto"/>
              <w:jc w:val="both"/>
              <w:rPr>
                <w:rFonts w:cstheme="minorHAnsi"/>
                <w:b/>
                <w:i/>
              </w:rPr>
            </w:pPr>
          </w:p>
        </w:tc>
      </w:tr>
    </w:tbl>
    <w:p w:rsidR="00101E22" w:rsidRDefault="00101E22" w:rsidP="00101E22">
      <w:pPr>
        <w:spacing w:line="360" w:lineRule="auto"/>
        <w:jc w:val="both"/>
        <w:rPr>
          <w:rFonts w:cstheme="minorHAnsi"/>
        </w:rPr>
      </w:pPr>
    </w:p>
    <w:p w:rsidR="00392ACE" w:rsidRDefault="00392ACE">
      <w:pPr>
        <w:rPr>
          <w:rFonts w:cstheme="minorHAnsi"/>
        </w:rPr>
      </w:pPr>
      <w:r>
        <w:rPr>
          <w:rFonts w:cstheme="minorHAnsi"/>
        </w:rPr>
        <w:br w:type="page"/>
      </w:r>
    </w:p>
    <w:p w:rsidR="00952350" w:rsidRDefault="00952350" w:rsidP="00101E22">
      <w:pPr>
        <w:spacing w:line="360" w:lineRule="auto"/>
        <w:jc w:val="both"/>
        <w:rPr>
          <w:rFonts w:cstheme="minorHAnsi"/>
        </w:rPr>
        <w:sectPr w:rsidR="00952350">
          <w:headerReference w:type="default" r:id="rId8"/>
          <w:pgSz w:w="11906" w:h="16838"/>
          <w:pgMar w:top="1417" w:right="1701" w:bottom="1417" w:left="1701" w:header="708" w:footer="708" w:gutter="0"/>
          <w:cols w:space="708"/>
          <w:docGrid w:linePitch="360"/>
        </w:sectPr>
      </w:pPr>
    </w:p>
    <w:p w:rsidR="00A47985" w:rsidRDefault="00A47985" w:rsidP="00A47985">
      <w:pPr>
        <w:pStyle w:val="Prrafodelista"/>
        <w:ind w:left="709" w:right="535"/>
        <w:jc w:val="both"/>
        <w:rPr>
          <w:rFonts w:cstheme="minorHAnsi"/>
        </w:rPr>
      </w:pPr>
      <w:r w:rsidRPr="00A47985">
        <w:rPr>
          <w:rFonts w:cstheme="minorHAnsi"/>
        </w:rPr>
        <w:lastRenderedPageBreak/>
        <w:t xml:space="preserve">El beneficiario de ayuda </w:t>
      </w:r>
      <w:r w:rsidRPr="00A47985">
        <w:rPr>
          <w:rFonts w:cstheme="minorHAnsi"/>
          <w:b/>
        </w:rPr>
        <w:t>DECLARA</w:t>
      </w:r>
      <w:r w:rsidRPr="00A47985">
        <w:rPr>
          <w:rFonts w:cstheme="minorHAnsi"/>
        </w:rPr>
        <w:t>:</w:t>
      </w:r>
    </w:p>
    <w:p w:rsidR="00A47985" w:rsidRPr="006D3AA6" w:rsidRDefault="00A47985" w:rsidP="00A47985">
      <w:pPr>
        <w:pStyle w:val="Prrafodelista"/>
        <w:ind w:left="709" w:right="535"/>
        <w:jc w:val="both"/>
        <w:rPr>
          <w:rFonts w:cstheme="minorHAnsi"/>
          <w:sz w:val="8"/>
          <w:szCs w:val="8"/>
        </w:rPr>
      </w:pPr>
    </w:p>
    <w:p w:rsidR="00A47985" w:rsidRPr="00A47985" w:rsidRDefault="00A47985" w:rsidP="00A47985">
      <w:pPr>
        <w:pStyle w:val="Prrafodelista"/>
        <w:numPr>
          <w:ilvl w:val="0"/>
          <w:numId w:val="4"/>
        </w:numPr>
        <w:spacing w:after="0" w:line="240" w:lineRule="auto"/>
        <w:ind w:left="709" w:right="535"/>
        <w:jc w:val="both"/>
        <w:rPr>
          <w:rFonts w:cstheme="minorHAnsi"/>
          <w:sz w:val="21"/>
          <w:szCs w:val="21"/>
        </w:rPr>
      </w:pPr>
      <w:r w:rsidRPr="00A47985">
        <w:rPr>
          <w:rFonts w:cstheme="minorHAnsi"/>
          <w:sz w:val="21"/>
          <w:szCs w:val="21"/>
        </w:rPr>
        <w:t>Que los datos que se indican son ciertos, y certifica haber comprobado los documentos relacionados y verificado las operaciones aritméticas correspondientes.</w:t>
      </w:r>
    </w:p>
    <w:p w:rsidR="00A47985" w:rsidRPr="006D3AA6" w:rsidRDefault="00A47985" w:rsidP="00A47985">
      <w:pPr>
        <w:pStyle w:val="Prrafodelista"/>
        <w:spacing w:after="0" w:line="240" w:lineRule="auto"/>
        <w:ind w:left="709" w:right="535"/>
        <w:jc w:val="both"/>
        <w:rPr>
          <w:rFonts w:cstheme="minorHAnsi"/>
          <w:sz w:val="8"/>
          <w:szCs w:val="8"/>
        </w:rPr>
      </w:pPr>
    </w:p>
    <w:p w:rsidR="00952350" w:rsidRPr="00382212" w:rsidRDefault="00A47985" w:rsidP="00A47985">
      <w:pPr>
        <w:pStyle w:val="Prrafodelista"/>
        <w:numPr>
          <w:ilvl w:val="0"/>
          <w:numId w:val="4"/>
        </w:numPr>
        <w:spacing w:after="0" w:line="240" w:lineRule="auto"/>
        <w:ind w:left="709" w:right="535"/>
        <w:jc w:val="both"/>
        <w:rPr>
          <w:rFonts w:cstheme="minorHAnsi"/>
          <w:sz w:val="21"/>
          <w:szCs w:val="21"/>
        </w:rPr>
      </w:pPr>
      <w:r w:rsidRPr="00A47985">
        <w:rPr>
          <w:rFonts w:cstheme="minorHAnsi"/>
          <w:sz w:val="21"/>
          <w:szCs w:val="21"/>
        </w:rPr>
        <w:t>En el caso de existir contratación pública, el compromiso de aportar relación certificada de los contratos suscritos para la realización de la actuación realizada.</w:t>
      </w:r>
      <w:r w:rsidRPr="00A47985">
        <w:rPr>
          <w:rFonts w:cs="Arial"/>
          <w:strike/>
          <w:noProof/>
          <w:sz w:val="21"/>
          <w:szCs w:val="21"/>
          <w:highlight w:val="yellow"/>
        </w:rPr>
        <w:t xml:space="preserve"> </w:t>
      </w:r>
    </w:p>
    <w:tbl>
      <w:tblPr>
        <w:tblStyle w:val="Tablaconcuadrcula"/>
        <w:tblW w:w="14601" w:type="dxa"/>
        <w:tblInd w:w="-431" w:type="dxa"/>
        <w:tblLayout w:type="fixed"/>
        <w:tblLook w:val="04A0" w:firstRow="1" w:lastRow="0" w:firstColumn="1" w:lastColumn="0" w:noHBand="0" w:noVBand="1"/>
      </w:tblPr>
      <w:tblGrid>
        <w:gridCol w:w="1560"/>
        <w:gridCol w:w="1276"/>
        <w:gridCol w:w="2574"/>
        <w:gridCol w:w="2671"/>
        <w:gridCol w:w="1417"/>
        <w:gridCol w:w="1321"/>
        <w:gridCol w:w="1803"/>
        <w:gridCol w:w="1979"/>
      </w:tblGrid>
      <w:tr w:rsidR="00952350" w:rsidTr="00A47985">
        <w:trPr>
          <w:trHeight w:val="454"/>
        </w:trPr>
        <w:tc>
          <w:tcPr>
            <w:tcW w:w="14601" w:type="dxa"/>
            <w:gridSpan w:val="8"/>
            <w:shd w:val="clear" w:color="auto" w:fill="D0CECE" w:themeFill="background2" w:themeFillShade="E6"/>
            <w:vAlign w:val="center"/>
          </w:tcPr>
          <w:p w:rsidR="00952350" w:rsidRPr="00952350" w:rsidRDefault="00952350" w:rsidP="00952350">
            <w:pPr>
              <w:jc w:val="center"/>
              <w:rPr>
                <w:rFonts w:cstheme="minorHAnsi"/>
                <w:b/>
                <w:sz w:val="24"/>
                <w:szCs w:val="24"/>
              </w:rPr>
            </w:pPr>
            <w:r w:rsidRPr="00952350">
              <w:rPr>
                <w:rFonts w:cstheme="minorHAnsi"/>
                <w:b/>
                <w:sz w:val="24"/>
                <w:szCs w:val="24"/>
              </w:rPr>
              <w:t>SUBCONTRATACIÓN. RELACIÓN DE OFERTAS / PRESUPUESTOS</w:t>
            </w:r>
          </w:p>
        </w:tc>
      </w:tr>
      <w:tr w:rsidR="00A47985" w:rsidTr="00A47985">
        <w:trPr>
          <w:trHeight w:val="680"/>
        </w:trPr>
        <w:tc>
          <w:tcPr>
            <w:tcW w:w="1560" w:type="dxa"/>
            <w:shd w:val="clear" w:color="auto" w:fill="D0CECE" w:themeFill="background2" w:themeFillShade="E6"/>
            <w:vAlign w:val="center"/>
          </w:tcPr>
          <w:p w:rsidR="00952350" w:rsidRPr="00A47985" w:rsidRDefault="00952350" w:rsidP="00952350">
            <w:pPr>
              <w:jc w:val="center"/>
              <w:rPr>
                <w:rFonts w:cstheme="minorHAnsi"/>
                <w:b/>
                <w:sz w:val="20"/>
                <w:szCs w:val="20"/>
              </w:rPr>
            </w:pPr>
            <w:r w:rsidRPr="00A47985">
              <w:rPr>
                <w:rFonts w:cstheme="minorHAnsi"/>
                <w:b/>
                <w:sz w:val="20"/>
                <w:szCs w:val="20"/>
              </w:rPr>
              <w:t>Nº OFERTA / PERSUPUESTO</w:t>
            </w:r>
          </w:p>
        </w:tc>
        <w:tc>
          <w:tcPr>
            <w:tcW w:w="1276" w:type="dxa"/>
            <w:shd w:val="clear" w:color="auto" w:fill="D0CECE" w:themeFill="background2" w:themeFillShade="E6"/>
            <w:vAlign w:val="center"/>
          </w:tcPr>
          <w:p w:rsidR="00952350" w:rsidRPr="00A47985" w:rsidRDefault="00952350" w:rsidP="00952350">
            <w:pPr>
              <w:jc w:val="center"/>
              <w:rPr>
                <w:rFonts w:cstheme="minorHAnsi"/>
                <w:b/>
                <w:sz w:val="20"/>
                <w:szCs w:val="20"/>
              </w:rPr>
            </w:pPr>
            <w:r w:rsidRPr="00A47985">
              <w:rPr>
                <w:rFonts w:cstheme="minorHAnsi"/>
                <w:b/>
                <w:sz w:val="20"/>
                <w:szCs w:val="20"/>
              </w:rPr>
              <w:t>FECHA</w:t>
            </w:r>
          </w:p>
        </w:tc>
        <w:tc>
          <w:tcPr>
            <w:tcW w:w="2574" w:type="dxa"/>
            <w:shd w:val="clear" w:color="auto" w:fill="D0CECE" w:themeFill="background2" w:themeFillShade="E6"/>
            <w:vAlign w:val="center"/>
          </w:tcPr>
          <w:p w:rsidR="00952350" w:rsidRPr="00A47985" w:rsidRDefault="00952350" w:rsidP="00952350">
            <w:pPr>
              <w:jc w:val="center"/>
              <w:rPr>
                <w:rFonts w:cstheme="minorHAnsi"/>
                <w:b/>
                <w:sz w:val="20"/>
                <w:szCs w:val="20"/>
              </w:rPr>
            </w:pPr>
            <w:r w:rsidRPr="00A47985">
              <w:rPr>
                <w:rFonts w:cstheme="minorHAnsi"/>
                <w:b/>
                <w:sz w:val="20"/>
                <w:szCs w:val="20"/>
              </w:rPr>
              <w:t>PROVEEDOR</w:t>
            </w:r>
          </w:p>
        </w:tc>
        <w:tc>
          <w:tcPr>
            <w:tcW w:w="2671" w:type="dxa"/>
            <w:shd w:val="clear" w:color="auto" w:fill="D0CECE" w:themeFill="background2" w:themeFillShade="E6"/>
            <w:vAlign w:val="center"/>
          </w:tcPr>
          <w:p w:rsidR="00952350" w:rsidRPr="00A47985" w:rsidRDefault="00952350" w:rsidP="00952350">
            <w:pPr>
              <w:jc w:val="center"/>
              <w:rPr>
                <w:rFonts w:cstheme="minorHAnsi"/>
                <w:b/>
                <w:sz w:val="20"/>
                <w:szCs w:val="20"/>
              </w:rPr>
            </w:pPr>
            <w:r w:rsidRPr="00A47985">
              <w:rPr>
                <w:rFonts w:cstheme="minorHAnsi"/>
                <w:b/>
                <w:sz w:val="20"/>
                <w:szCs w:val="20"/>
              </w:rPr>
              <w:t>CONCEPTO</w:t>
            </w:r>
          </w:p>
        </w:tc>
        <w:tc>
          <w:tcPr>
            <w:tcW w:w="1417" w:type="dxa"/>
            <w:shd w:val="clear" w:color="auto" w:fill="D0CECE" w:themeFill="background2" w:themeFillShade="E6"/>
            <w:vAlign w:val="center"/>
          </w:tcPr>
          <w:p w:rsidR="00952350" w:rsidRPr="00A47985" w:rsidRDefault="00952350" w:rsidP="00952350">
            <w:pPr>
              <w:jc w:val="center"/>
              <w:rPr>
                <w:rFonts w:cstheme="minorHAnsi"/>
                <w:b/>
                <w:sz w:val="20"/>
                <w:szCs w:val="20"/>
              </w:rPr>
            </w:pPr>
            <w:r w:rsidRPr="00A47985">
              <w:rPr>
                <w:rFonts w:cstheme="minorHAnsi"/>
                <w:b/>
                <w:sz w:val="20"/>
                <w:szCs w:val="20"/>
              </w:rPr>
              <w:t>IMPORTE (SIN IVA) (€)</w:t>
            </w:r>
          </w:p>
        </w:tc>
        <w:tc>
          <w:tcPr>
            <w:tcW w:w="1321" w:type="dxa"/>
            <w:shd w:val="clear" w:color="auto" w:fill="D0CECE" w:themeFill="background2" w:themeFillShade="E6"/>
            <w:vAlign w:val="center"/>
          </w:tcPr>
          <w:p w:rsidR="00952350" w:rsidRPr="00A47985" w:rsidRDefault="00952350" w:rsidP="00952350">
            <w:pPr>
              <w:jc w:val="center"/>
              <w:rPr>
                <w:rFonts w:cstheme="minorHAnsi"/>
                <w:b/>
                <w:sz w:val="20"/>
                <w:szCs w:val="20"/>
              </w:rPr>
            </w:pPr>
            <w:r w:rsidRPr="00A47985">
              <w:rPr>
                <w:rFonts w:cstheme="minorHAnsi"/>
                <w:b/>
                <w:sz w:val="20"/>
                <w:szCs w:val="20"/>
              </w:rPr>
              <w:t>IVA (€)</w:t>
            </w:r>
          </w:p>
        </w:tc>
        <w:tc>
          <w:tcPr>
            <w:tcW w:w="1803" w:type="dxa"/>
            <w:shd w:val="clear" w:color="auto" w:fill="D0CECE" w:themeFill="background2" w:themeFillShade="E6"/>
            <w:vAlign w:val="center"/>
          </w:tcPr>
          <w:p w:rsidR="00952350" w:rsidRPr="00A47985" w:rsidRDefault="00952350" w:rsidP="00952350">
            <w:pPr>
              <w:jc w:val="center"/>
              <w:rPr>
                <w:rFonts w:cstheme="minorHAnsi"/>
                <w:b/>
                <w:sz w:val="20"/>
                <w:szCs w:val="20"/>
              </w:rPr>
            </w:pPr>
            <w:r w:rsidRPr="00A47985">
              <w:rPr>
                <w:rFonts w:cstheme="minorHAnsi"/>
                <w:b/>
                <w:sz w:val="20"/>
                <w:szCs w:val="20"/>
              </w:rPr>
              <w:t>SELECCIONADO (SI/NO)</w:t>
            </w:r>
          </w:p>
        </w:tc>
        <w:tc>
          <w:tcPr>
            <w:tcW w:w="1979" w:type="dxa"/>
            <w:shd w:val="clear" w:color="auto" w:fill="D0CECE" w:themeFill="background2" w:themeFillShade="E6"/>
            <w:vAlign w:val="center"/>
          </w:tcPr>
          <w:p w:rsidR="00952350" w:rsidRPr="00A47985" w:rsidRDefault="00952350" w:rsidP="00952350">
            <w:pPr>
              <w:jc w:val="center"/>
              <w:rPr>
                <w:rFonts w:cstheme="minorHAnsi"/>
                <w:b/>
                <w:sz w:val="20"/>
                <w:szCs w:val="20"/>
              </w:rPr>
            </w:pPr>
            <w:r w:rsidRPr="00A47985">
              <w:rPr>
                <w:rFonts w:cstheme="minorHAnsi"/>
                <w:b/>
                <w:sz w:val="20"/>
                <w:szCs w:val="20"/>
              </w:rPr>
              <w:t>Nº PEDIDO/CONTRATO ASOCIADO</w:t>
            </w:r>
          </w:p>
        </w:tc>
      </w:tr>
      <w:tr w:rsidR="00952350" w:rsidTr="00A47985">
        <w:trPr>
          <w:trHeight w:val="680"/>
        </w:trPr>
        <w:tc>
          <w:tcPr>
            <w:tcW w:w="1560" w:type="dxa"/>
            <w:vAlign w:val="center"/>
          </w:tcPr>
          <w:p w:rsidR="00952350" w:rsidRDefault="00952350" w:rsidP="00952350">
            <w:pPr>
              <w:jc w:val="both"/>
              <w:rPr>
                <w:rFonts w:cstheme="minorHAnsi"/>
              </w:rPr>
            </w:pPr>
          </w:p>
        </w:tc>
        <w:tc>
          <w:tcPr>
            <w:tcW w:w="1276" w:type="dxa"/>
            <w:vAlign w:val="center"/>
          </w:tcPr>
          <w:p w:rsidR="00952350" w:rsidRDefault="00952350" w:rsidP="00952350">
            <w:pPr>
              <w:jc w:val="both"/>
              <w:rPr>
                <w:rFonts w:cstheme="minorHAnsi"/>
              </w:rPr>
            </w:pPr>
          </w:p>
        </w:tc>
        <w:tc>
          <w:tcPr>
            <w:tcW w:w="2574" w:type="dxa"/>
            <w:vAlign w:val="center"/>
          </w:tcPr>
          <w:p w:rsidR="00952350" w:rsidRDefault="00952350" w:rsidP="00952350">
            <w:pPr>
              <w:jc w:val="both"/>
              <w:rPr>
                <w:rFonts w:cstheme="minorHAnsi"/>
              </w:rPr>
            </w:pPr>
          </w:p>
        </w:tc>
        <w:tc>
          <w:tcPr>
            <w:tcW w:w="2671" w:type="dxa"/>
            <w:vAlign w:val="center"/>
          </w:tcPr>
          <w:p w:rsidR="00952350" w:rsidRDefault="00952350" w:rsidP="00952350">
            <w:pPr>
              <w:jc w:val="both"/>
              <w:rPr>
                <w:rFonts w:cstheme="minorHAnsi"/>
              </w:rPr>
            </w:pPr>
          </w:p>
        </w:tc>
        <w:tc>
          <w:tcPr>
            <w:tcW w:w="1417" w:type="dxa"/>
            <w:vAlign w:val="center"/>
          </w:tcPr>
          <w:p w:rsidR="00952350" w:rsidRDefault="00952350" w:rsidP="00952350">
            <w:pPr>
              <w:jc w:val="both"/>
              <w:rPr>
                <w:rFonts w:cstheme="minorHAnsi"/>
              </w:rPr>
            </w:pPr>
          </w:p>
        </w:tc>
        <w:tc>
          <w:tcPr>
            <w:tcW w:w="1321" w:type="dxa"/>
            <w:vAlign w:val="center"/>
          </w:tcPr>
          <w:p w:rsidR="00952350" w:rsidRDefault="00952350" w:rsidP="00952350">
            <w:pPr>
              <w:jc w:val="both"/>
              <w:rPr>
                <w:rFonts w:cstheme="minorHAnsi"/>
              </w:rPr>
            </w:pPr>
          </w:p>
        </w:tc>
        <w:tc>
          <w:tcPr>
            <w:tcW w:w="1803" w:type="dxa"/>
            <w:vAlign w:val="center"/>
          </w:tcPr>
          <w:p w:rsidR="00952350" w:rsidRDefault="00952350" w:rsidP="00952350">
            <w:pPr>
              <w:jc w:val="both"/>
              <w:rPr>
                <w:rFonts w:cstheme="minorHAnsi"/>
              </w:rPr>
            </w:pPr>
          </w:p>
        </w:tc>
        <w:tc>
          <w:tcPr>
            <w:tcW w:w="1979" w:type="dxa"/>
            <w:vAlign w:val="center"/>
          </w:tcPr>
          <w:p w:rsidR="00952350" w:rsidRDefault="00952350" w:rsidP="00952350">
            <w:pPr>
              <w:jc w:val="both"/>
              <w:rPr>
                <w:rFonts w:cstheme="minorHAnsi"/>
              </w:rPr>
            </w:pPr>
          </w:p>
        </w:tc>
      </w:tr>
      <w:tr w:rsidR="00952350" w:rsidTr="00A47985">
        <w:trPr>
          <w:trHeight w:val="680"/>
        </w:trPr>
        <w:tc>
          <w:tcPr>
            <w:tcW w:w="1560" w:type="dxa"/>
            <w:vAlign w:val="center"/>
          </w:tcPr>
          <w:p w:rsidR="00952350" w:rsidRDefault="00952350" w:rsidP="00952350">
            <w:pPr>
              <w:jc w:val="both"/>
              <w:rPr>
                <w:rFonts w:cstheme="minorHAnsi"/>
              </w:rPr>
            </w:pPr>
          </w:p>
        </w:tc>
        <w:tc>
          <w:tcPr>
            <w:tcW w:w="1276" w:type="dxa"/>
            <w:vAlign w:val="center"/>
          </w:tcPr>
          <w:p w:rsidR="00952350" w:rsidRDefault="00952350" w:rsidP="00952350">
            <w:pPr>
              <w:jc w:val="both"/>
              <w:rPr>
                <w:rFonts w:cstheme="minorHAnsi"/>
              </w:rPr>
            </w:pPr>
          </w:p>
        </w:tc>
        <w:tc>
          <w:tcPr>
            <w:tcW w:w="2574" w:type="dxa"/>
            <w:vAlign w:val="center"/>
          </w:tcPr>
          <w:p w:rsidR="00952350" w:rsidRDefault="00952350" w:rsidP="00952350">
            <w:pPr>
              <w:jc w:val="both"/>
              <w:rPr>
                <w:rFonts w:cstheme="minorHAnsi"/>
              </w:rPr>
            </w:pPr>
          </w:p>
        </w:tc>
        <w:tc>
          <w:tcPr>
            <w:tcW w:w="2671" w:type="dxa"/>
            <w:vAlign w:val="center"/>
          </w:tcPr>
          <w:p w:rsidR="00952350" w:rsidRDefault="00952350" w:rsidP="00952350">
            <w:pPr>
              <w:jc w:val="both"/>
              <w:rPr>
                <w:rFonts w:cstheme="minorHAnsi"/>
              </w:rPr>
            </w:pPr>
          </w:p>
        </w:tc>
        <w:tc>
          <w:tcPr>
            <w:tcW w:w="1417" w:type="dxa"/>
            <w:vAlign w:val="center"/>
          </w:tcPr>
          <w:p w:rsidR="00952350" w:rsidRDefault="00952350" w:rsidP="00952350">
            <w:pPr>
              <w:jc w:val="both"/>
              <w:rPr>
                <w:rFonts w:cstheme="minorHAnsi"/>
              </w:rPr>
            </w:pPr>
          </w:p>
        </w:tc>
        <w:tc>
          <w:tcPr>
            <w:tcW w:w="1321" w:type="dxa"/>
            <w:vAlign w:val="center"/>
          </w:tcPr>
          <w:p w:rsidR="00952350" w:rsidRDefault="00952350" w:rsidP="00952350">
            <w:pPr>
              <w:jc w:val="both"/>
              <w:rPr>
                <w:rFonts w:cstheme="minorHAnsi"/>
              </w:rPr>
            </w:pPr>
          </w:p>
        </w:tc>
        <w:tc>
          <w:tcPr>
            <w:tcW w:w="1803" w:type="dxa"/>
            <w:vAlign w:val="center"/>
          </w:tcPr>
          <w:p w:rsidR="00952350" w:rsidRDefault="00952350" w:rsidP="00952350">
            <w:pPr>
              <w:jc w:val="both"/>
              <w:rPr>
                <w:rFonts w:cstheme="minorHAnsi"/>
              </w:rPr>
            </w:pPr>
          </w:p>
        </w:tc>
        <w:tc>
          <w:tcPr>
            <w:tcW w:w="1979" w:type="dxa"/>
            <w:vAlign w:val="center"/>
          </w:tcPr>
          <w:p w:rsidR="00952350" w:rsidRDefault="00952350" w:rsidP="00952350">
            <w:pPr>
              <w:jc w:val="both"/>
              <w:rPr>
                <w:rFonts w:cstheme="minorHAnsi"/>
              </w:rPr>
            </w:pPr>
          </w:p>
        </w:tc>
      </w:tr>
      <w:tr w:rsidR="00952350" w:rsidTr="00A47985">
        <w:trPr>
          <w:trHeight w:val="680"/>
        </w:trPr>
        <w:tc>
          <w:tcPr>
            <w:tcW w:w="1560" w:type="dxa"/>
            <w:vAlign w:val="center"/>
          </w:tcPr>
          <w:p w:rsidR="00952350" w:rsidRDefault="00952350" w:rsidP="00952350">
            <w:pPr>
              <w:jc w:val="both"/>
              <w:rPr>
                <w:rFonts w:cstheme="minorHAnsi"/>
              </w:rPr>
            </w:pPr>
          </w:p>
        </w:tc>
        <w:tc>
          <w:tcPr>
            <w:tcW w:w="1276" w:type="dxa"/>
            <w:vAlign w:val="center"/>
          </w:tcPr>
          <w:p w:rsidR="00952350" w:rsidRDefault="00952350" w:rsidP="00952350">
            <w:pPr>
              <w:jc w:val="both"/>
              <w:rPr>
                <w:rFonts w:cstheme="minorHAnsi"/>
              </w:rPr>
            </w:pPr>
          </w:p>
        </w:tc>
        <w:tc>
          <w:tcPr>
            <w:tcW w:w="2574" w:type="dxa"/>
            <w:vAlign w:val="center"/>
          </w:tcPr>
          <w:p w:rsidR="00952350" w:rsidRDefault="00952350" w:rsidP="00952350">
            <w:pPr>
              <w:jc w:val="both"/>
              <w:rPr>
                <w:rFonts w:cstheme="minorHAnsi"/>
              </w:rPr>
            </w:pPr>
          </w:p>
        </w:tc>
        <w:tc>
          <w:tcPr>
            <w:tcW w:w="2671" w:type="dxa"/>
            <w:vAlign w:val="center"/>
          </w:tcPr>
          <w:p w:rsidR="00952350" w:rsidRDefault="00952350" w:rsidP="00952350">
            <w:pPr>
              <w:jc w:val="both"/>
              <w:rPr>
                <w:rFonts w:cstheme="minorHAnsi"/>
              </w:rPr>
            </w:pPr>
          </w:p>
        </w:tc>
        <w:tc>
          <w:tcPr>
            <w:tcW w:w="1417" w:type="dxa"/>
            <w:vAlign w:val="center"/>
          </w:tcPr>
          <w:p w:rsidR="00952350" w:rsidRDefault="00952350" w:rsidP="00952350">
            <w:pPr>
              <w:jc w:val="both"/>
              <w:rPr>
                <w:rFonts w:cstheme="minorHAnsi"/>
              </w:rPr>
            </w:pPr>
          </w:p>
        </w:tc>
        <w:tc>
          <w:tcPr>
            <w:tcW w:w="1321" w:type="dxa"/>
            <w:vAlign w:val="center"/>
          </w:tcPr>
          <w:p w:rsidR="00952350" w:rsidRDefault="00952350" w:rsidP="00952350">
            <w:pPr>
              <w:jc w:val="both"/>
              <w:rPr>
                <w:rFonts w:cstheme="minorHAnsi"/>
              </w:rPr>
            </w:pPr>
          </w:p>
        </w:tc>
        <w:tc>
          <w:tcPr>
            <w:tcW w:w="1803" w:type="dxa"/>
            <w:vAlign w:val="center"/>
          </w:tcPr>
          <w:p w:rsidR="00952350" w:rsidRDefault="00952350" w:rsidP="00952350">
            <w:pPr>
              <w:jc w:val="both"/>
              <w:rPr>
                <w:rFonts w:cstheme="minorHAnsi"/>
              </w:rPr>
            </w:pPr>
          </w:p>
        </w:tc>
        <w:tc>
          <w:tcPr>
            <w:tcW w:w="1979" w:type="dxa"/>
            <w:vAlign w:val="center"/>
          </w:tcPr>
          <w:p w:rsidR="00952350" w:rsidRDefault="00952350" w:rsidP="00952350">
            <w:pPr>
              <w:jc w:val="both"/>
              <w:rPr>
                <w:rFonts w:cstheme="minorHAnsi"/>
              </w:rPr>
            </w:pPr>
          </w:p>
        </w:tc>
      </w:tr>
      <w:tr w:rsidR="00952350" w:rsidTr="00A47985">
        <w:trPr>
          <w:trHeight w:val="680"/>
        </w:trPr>
        <w:tc>
          <w:tcPr>
            <w:tcW w:w="1560" w:type="dxa"/>
            <w:vAlign w:val="center"/>
          </w:tcPr>
          <w:p w:rsidR="00952350" w:rsidRDefault="00952350" w:rsidP="00952350">
            <w:pPr>
              <w:jc w:val="both"/>
              <w:rPr>
                <w:rFonts w:cstheme="minorHAnsi"/>
              </w:rPr>
            </w:pPr>
          </w:p>
        </w:tc>
        <w:tc>
          <w:tcPr>
            <w:tcW w:w="1276" w:type="dxa"/>
            <w:vAlign w:val="center"/>
          </w:tcPr>
          <w:p w:rsidR="00952350" w:rsidRDefault="00952350" w:rsidP="00952350">
            <w:pPr>
              <w:jc w:val="both"/>
              <w:rPr>
                <w:rFonts w:cstheme="minorHAnsi"/>
              </w:rPr>
            </w:pPr>
          </w:p>
        </w:tc>
        <w:tc>
          <w:tcPr>
            <w:tcW w:w="2574" w:type="dxa"/>
            <w:vAlign w:val="center"/>
          </w:tcPr>
          <w:p w:rsidR="00952350" w:rsidRDefault="00952350" w:rsidP="00952350">
            <w:pPr>
              <w:jc w:val="both"/>
              <w:rPr>
                <w:rFonts w:cstheme="minorHAnsi"/>
              </w:rPr>
            </w:pPr>
          </w:p>
        </w:tc>
        <w:tc>
          <w:tcPr>
            <w:tcW w:w="2671" w:type="dxa"/>
            <w:vAlign w:val="center"/>
          </w:tcPr>
          <w:p w:rsidR="00952350" w:rsidRDefault="00952350" w:rsidP="00952350">
            <w:pPr>
              <w:jc w:val="both"/>
              <w:rPr>
                <w:rFonts w:cstheme="minorHAnsi"/>
              </w:rPr>
            </w:pPr>
          </w:p>
        </w:tc>
        <w:tc>
          <w:tcPr>
            <w:tcW w:w="1417" w:type="dxa"/>
            <w:vAlign w:val="center"/>
          </w:tcPr>
          <w:p w:rsidR="00952350" w:rsidRDefault="00952350" w:rsidP="00952350">
            <w:pPr>
              <w:jc w:val="both"/>
              <w:rPr>
                <w:rFonts w:cstheme="minorHAnsi"/>
              </w:rPr>
            </w:pPr>
          </w:p>
        </w:tc>
        <w:tc>
          <w:tcPr>
            <w:tcW w:w="1321" w:type="dxa"/>
            <w:vAlign w:val="center"/>
          </w:tcPr>
          <w:p w:rsidR="00952350" w:rsidRDefault="00952350" w:rsidP="00952350">
            <w:pPr>
              <w:jc w:val="both"/>
              <w:rPr>
                <w:rFonts w:cstheme="minorHAnsi"/>
              </w:rPr>
            </w:pPr>
          </w:p>
        </w:tc>
        <w:tc>
          <w:tcPr>
            <w:tcW w:w="1803" w:type="dxa"/>
            <w:vAlign w:val="center"/>
          </w:tcPr>
          <w:p w:rsidR="00952350" w:rsidRDefault="00952350" w:rsidP="00952350">
            <w:pPr>
              <w:jc w:val="both"/>
              <w:rPr>
                <w:rFonts w:cstheme="minorHAnsi"/>
              </w:rPr>
            </w:pPr>
          </w:p>
        </w:tc>
        <w:tc>
          <w:tcPr>
            <w:tcW w:w="1979" w:type="dxa"/>
            <w:vAlign w:val="center"/>
          </w:tcPr>
          <w:p w:rsidR="00952350" w:rsidRDefault="00952350" w:rsidP="00952350">
            <w:pPr>
              <w:jc w:val="both"/>
              <w:rPr>
                <w:rFonts w:cstheme="minorHAnsi"/>
              </w:rPr>
            </w:pPr>
          </w:p>
        </w:tc>
      </w:tr>
      <w:tr w:rsidR="00A47985" w:rsidTr="00A47985">
        <w:trPr>
          <w:trHeight w:val="680"/>
        </w:trPr>
        <w:tc>
          <w:tcPr>
            <w:tcW w:w="1560" w:type="dxa"/>
            <w:vAlign w:val="center"/>
          </w:tcPr>
          <w:p w:rsidR="00A47985" w:rsidRDefault="00A47985" w:rsidP="00952350">
            <w:pPr>
              <w:jc w:val="both"/>
              <w:rPr>
                <w:rFonts w:cstheme="minorHAnsi"/>
              </w:rPr>
            </w:pPr>
          </w:p>
        </w:tc>
        <w:tc>
          <w:tcPr>
            <w:tcW w:w="1276" w:type="dxa"/>
            <w:vAlign w:val="center"/>
          </w:tcPr>
          <w:p w:rsidR="00A47985" w:rsidRDefault="00A47985" w:rsidP="00952350">
            <w:pPr>
              <w:jc w:val="both"/>
              <w:rPr>
                <w:rFonts w:cstheme="minorHAnsi"/>
              </w:rPr>
            </w:pPr>
          </w:p>
        </w:tc>
        <w:tc>
          <w:tcPr>
            <w:tcW w:w="2574" w:type="dxa"/>
            <w:vAlign w:val="center"/>
          </w:tcPr>
          <w:p w:rsidR="00A47985" w:rsidRDefault="00A47985" w:rsidP="00952350">
            <w:pPr>
              <w:jc w:val="both"/>
              <w:rPr>
                <w:rFonts w:cstheme="minorHAnsi"/>
              </w:rPr>
            </w:pPr>
          </w:p>
        </w:tc>
        <w:tc>
          <w:tcPr>
            <w:tcW w:w="2671" w:type="dxa"/>
            <w:vAlign w:val="center"/>
          </w:tcPr>
          <w:p w:rsidR="00A47985" w:rsidRDefault="00A47985" w:rsidP="00952350">
            <w:pPr>
              <w:jc w:val="both"/>
              <w:rPr>
                <w:rFonts w:cstheme="minorHAnsi"/>
              </w:rPr>
            </w:pPr>
          </w:p>
        </w:tc>
        <w:tc>
          <w:tcPr>
            <w:tcW w:w="1417" w:type="dxa"/>
            <w:vAlign w:val="center"/>
          </w:tcPr>
          <w:p w:rsidR="00A47985" w:rsidRDefault="00A47985" w:rsidP="00952350">
            <w:pPr>
              <w:jc w:val="both"/>
              <w:rPr>
                <w:rFonts w:cstheme="minorHAnsi"/>
              </w:rPr>
            </w:pPr>
          </w:p>
        </w:tc>
        <w:tc>
          <w:tcPr>
            <w:tcW w:w="1321" w:type="dxa"/>
            <w:vAlign w:val="center"/>
          </w:tcPr>
          <w:p w:rsidR="00A47985" w:rsidRDefault="00A47985" w:rsidP="00952350">
            <w:pPr>
              <w:jc w:val="both"/>
              <w:rPr>
                <w:rFonts w:cstheme="minorHAnsi"/>
              </w:rPr>
            </w:pPr>
          </w:p>
        </w:tc>
        <w:tc>
          <w:tcPr>
            <w:tcW w:w="1803" w:type="dxa"/>
            <w:vAlign w:val="center"/>
          </w:tcPr>
          <w:p w:rsidR="00A47985" w:rsidRDefault="00A47985" w:rsidP="00952350">
            <w:pPr>
              <w:jc w:val="both"/>
              <w:rPr>
                <w:rFonts w:cstheme="minorHAnsi"/>
              </w:rPr>
            </w:pPr>
          </w:p>
        </w:tc>
        <w:tc>
          <w:tcPr>
            <w:tcW w:w="1979" w:type="dxa"/>
            <w:vAlign w:val="center"/>
          </w:tcPr>
          <w:p w:rsidR="00A47985" w:rsidRDefault="00A47985" w:rsidP="00952350">
            <w:pPr>
              <w:jc w:val="both"/>
              <w:rPr>
                <w:rFonts w:cstheme="minorHAnsi"/>
              </w:rPr>
            </w:pPr>
          </w:p>
        </w:tc>
      </w:tr>
    </w:tbl>
    <w:p w:rsidR="00A47985" w:rsidRDefault="00A47985" w:rsidP="00A47985">
      <w:pPr>
        <w:pStyle w:val="Prrafodelista"/>
        <w:autoSpaceDE w:val="0"/>
        <w:autoSpaceDN w:val="0"/>
        <w:adjustRightInd w:val="0"/>
        <w:spacing w:after="0" w:line="240" w:lineRule="auto"/>
        <w:ind w:left="426" w:right="394"/>
        <w:jc w:val="both"/>
        <w:rPr>
          <w:rFonts w:cs="Arial"/>
          <w:sz w:val="16"/>
          <w:szCs w:val="21"/>
        </w:rPr>
      </w:pPr>
    </w:p>
    <w:p w:rsidR="00A47985" w:rsidRDefault="00A47985" w:rsidP="00A47985">
      <w:pPr>
        <w:pStyle w:val="Prrafodelista"/>
        <w:numPr>
          <w:ilvl w:val="0"/>
          <w:numId w:val="5"/>
        </w:numPr>
        <w:autoSpaceDE w:val="0"/>
        <w:autoSpaceDN w:val="0"/>
        <w:adjustRightInd w:val="0"/>
        <w:spacing w:after="0" w:line="240" w:lineRule="auto"/>
        <w:ind w:left="284" w:right="394" w:hanging="142"/>
        <w:jc w:val="both"/>
        <w:rPr>
          <w:rFonts w:cs="Arial"/>
          <w:sz w:val="16"/>
          <w:szCs w:val="21"/>
        </w:rPr>
      </w:pPr>
      <w:r w:rsidRPr="000A10C2">
        <w:rPr>
          <w:rFonts w:cs="Arial"/>
          <w:sz w:val="16"/>
          <w:szCs w:val="21"/>
        </w:rPr>
        <w:t>En caso de que el importe del gasto subvencionable previsto supere la cuantía de 40.000 € en el supuesto de coste por ejecución de obra o de 15.000 € en el supuesto de suministro de bienes o prestación de servicios, deberá disponer de documentación justificativa de haber solicitado como mínimo tres ofertas de diferentes proveedores, salvo que por sus especiales características no exista en el mercado suficiente número de entidades que los realicen, presten o suministren, en cuyo caso y a requerimiento de la Administración se presentará declaración al respecto, firmada electrónicamente por el beneficiario o su representante legal, de conformidad con lo dispuesto en el artículo 31 de la Ley 38/2003, de 17 de noviembre, General de Subvenciones.</w:t>
      </w:r>
    </w:p>
    <w:p w:rsidR="00A47985" w:rsidRPr="00A47985" w:rsidRDefault="00A47985" w:rsidP="00A47985">
      <w:pPr>
        <w:pStyle w:val="Prrafodelista"/>
        <w:autoSpaceDE w:val="0"/>
        <w:autoSpaceDN w:val="0"/>
        <w:adjustRightInd w:val="0"/>
        <w:spacing w:after="0" w:line="240" w:lineRule="auto"/>
        <w:ind w:left="284" w:right="394"/>
        <w:jc w:val="both"/>
        <w:rPr>
          <w:rFonts w:cs="Arial"/>
          <w:sz w:val="12"/>
          <w:szCs w:val="12"/>
        </w:rPr>
      </w:pPr>
    </w:p>
    <w:p w:rsidR="00073829" w:rsidRPr="002B330D" w:rsidRDefault="001E56B7" w:rsidP="002B330D">
      <w:pPr>
        <w:pStyle w:val="Prrafodelista"/>
        <w:numPr>
          <w:ilvl w:val="0"/>
          <w:numId w:val="5"/>
        </w:numPr>
        <w:autoSpaceDE w:val="0"/>
        <w:autoSpaceDN w:val="0"/>
        <w:adjustRightInd w:val="0"/>
        <w:spacing w:after="0" w:line="360" w:lineRule="auto"/>
        <w:ind w:left="284" w:right="394" w:hanging="142"/>
        <w:jc w:val="both"/>
        <w:rPr>
          <w:rFonts w:cstheme="minorHAnsi"/>
        </w:rPr>
      </w:pPr>
      <w:r>
        <w:rPr>
          <w:rFonts w:cs="Arial"/>
          <w:sz w:val="16"/>
          <w:szCs w:val="21"/>
        </w:rPr>
        <w:t>Deberá justificarse expresamente en l</w:t>
      </w:r>
      <w:r w:rsidRPr="001E56B7">
        <w:rPr>
          <w:rFonts w:cs="Arial"/>
          <w:sz w:val="16"/>
          <w:szCs w:val="21"/>
        </w:rPr>
        <w:t>a memoria la elección cuando no recaiga en la pr</w:t>
      </w:r>
      <w:r>
        <w:rPr>
          <w:rFonts w:cs="Arial"/>
          <w:sz w:val="16"/>
          <w:szCs w:val="21"/>
        </w:rPr>
        <w:t>opuesta económica más ventajosa, según lo dispuesto en el artículo 23 de la Orden de Bases.</w:t>
      </w:r>
    </w:p>
    <w:p w:rsidR="00073829" w:rsidRDefault="002B330D" w:rsidP="00073829">
      <w:pPr>
        <w:pStyle w:val="Prrafodelista"/>
        <w:autoSpaceDE w:val="0"/>
        <w:autoSpaceDN w:val="0"/>
        <w:adjustRightInd w:val="0"/>
        <w:spacing w:after="0" w:line="360" w:lineRule="auto"/>
        <w:ind w:left="284" w:right="394"/>
        <w:jc w:val="right"/>
        <w:rPr>
          <w:rFonts w:cstheme="minorHAnsi"/>
        </w:rPr>
      </w:pPr>
      <w:proofErr w:type="gramStart"/>
      <w:r>
        <w:rPr>
          <w:rFonts w:cstheme="minorHAnsi"/>
        </w:rPr>
        <w:t>En …</w:t>
      </w:r>
      <w:proofErr w:type="gramEnd"/>
      <w:r>
        <w:rPr>
          <w:rFonts w:cstheme="minorHAnsi"/>
        </w:rPr>
        <w:t>….</w:t>
      </w:r>
      <w:r w:rsidR="00073829">
        <w:rPr>
          <w:rFonts w:cstheme="minorHAnsi"/>
        </w:rPr>
        <w:t xml:space="preserve"> a …….</w:t>
      </w:r>
      <w:r>
        <w:rPr>
          <w:rFonts w:cstheme="minorHAnsi"/>
        </w:rPr>
        <w:t>de……….de…….</w:t>
      </w:r>
    </w:p>
    <w:p w:rsidR="00073829" w:rsidRDefault="00073829" w:rsidP="00073829">
      <w:pPr>
        <w:pStyle w:val="Prrafodelista"/>
        <w:autoSpaceDE w:val="0"/>
        <w:autoSpaceDN w:val="0"/>
        <w:adjustRightInd w:val="0"/>
        <w:spacing w:after="0" w:line="360" w:lineRule="auto"/>
        <w:ind w:left="284" w:right="394"/>
        <w:jc w:val="right"/>
        <w:rPr>
          <w:rFonts w:cstheme="minorHAnsi"/>
        </w:rPr>
      </w:pPr>
      <w:proofErr w:type="spellStart"/>
      <w:r>
        <w:rPr>
          <w:rFonts w:cstheme="minorHAnsi"/>
        </w:rPr>
        <w:t>Fdo</w:t>
      </w:r>
      <w:proofErr w:type="spellEnd"/>
      <w:r>
        <w:rPr>
          <w:rFonts w:cstheme="minorHAnsi"/>
        </w:rPr>
        <w:t>:</w:t>
      </w:r>
      <w:r w:rsidR="002B330D">
        <w:rPr>
          <w:rFonts w:cstheme="minorHAnsi"/>
        </w:rPr>
        <w:t>……………………………………</w:t>
      </w:r>
      <w:bookmarkStart w:id="0" w:name="_GoBack"/>
      <w:bookmarkEnd w:id="0"/>
    </w:p>
    <w:p w:rsidR="002B330D" w:rsidRDefault="002B330D" w:rsidP="00073829">
      <w:pPr>
        <w:pStyle w:val="Prrafodelista"/>
        <w:autoSpaceDE w:val="0"/>
        <w:autoSpaceDN w:val="0"/>
        <w:adjustRightInd w:val="0"/>
        <w:spacing w:after="0" w:line="360" w:lineRule="auto"/>
        <w:ind w:left="284" w:right="394"/>
        <w:jc w:val="right"/>
        <w:rPr>
          <w:rFonts w:cstheme="minorHAnsi"/>
        </w:rPr>
      </w:pPr>
      <w:r>
        <w:rPr>
          <w:rFonts w:cstheme="minorHAnsi"/>
        </w:rPr>
        <w:t>Cargo:………………………………..</w:t>
      </w:r>
    </w:p>
    <w:sectPr w:rsidR="002B330D" w:rsidSect="00A47985">
      <w:pgSz w:w="16838" w:h="11906" w:orient="landscape"/>
      <w:pgMar w:top="1701"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E22" w:rsidRDefault="00101E22" w:rsidP="00101E22">
      <w:pPr>
        <w:spacing w:after="0" w:line="240" w:lineRule="auto"/>
      </w:pPr>
      <w:r>
        <w:separator/>
      </w:r>
    </w:p>
  </w:endnote>
  <w:endnote w:type="continuationSeparator" w:id="0">
    <w:p w:rsidR="00101E22" w:rsidRDefault="00101E22" w:rsidP="0010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Albertina">
    <w:altName w:val="Cambria"/>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E22" w:rsidRDefault="00101E22" w:rsidP="00101E22">
      <w:pPr>
        <w:spacing w:after="0" w:line="240" w:lineRule="auto"/>
      </w:pPr>
      <w:r>
        <w:separator/>
      </w:r>
    </w:p>
  </w:footnote>
  <w:footnote w:type="continuationSeparator" w:id="0">
    <w:p w:rsidR="00101E22" w:rsidRDefault="00101E22" w:rsidP="00101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E22" w:rsidRDefault="00101E22" w:rsidP="00101E22">
    <w:pPr>
      <w:pStyle w:val="Encabezado"/>
      <w:ind w:left="-1701"/>
    </w:pPr>
    <w:r w:rsidRPr="00E05712">
      <w:rPr>
        <w:rFonts w:ascii="Calibri" w:eastAsia="Times New Roman" w:hAnsi="Calibri" w:cs="Times New Roman"/>
        <w:noProof/>
        <w:lang w:eastAsia="es-ES"/>
      </w:rPr>
      <w:drawing>
        <wp:anchor distT="0" distB="0" distL="114300" distR="114300" simplePos="0" relativeHeight="251659264" behindDoc="0" locked="0" layoutInCell="1" allowOverlap="1" wp14:anchorId="39C1DA2C" wp14:editId="5CDB8F4B">
          <wp:simplePos x="0" y="0"/>
          <wp:positionH relativeFrom="margin">
            <wp:posOffset>-571500</wp:posOffset>
          </wp:positionH>
          <wp:positionV relativeFrom="paragraph">
            <wp:posOffset>-211650</wp:posOffset>
          </wp:positionV>
          <wp:extent cx="6642201" cy="445135"/>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642201" cy="445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21A3D"/>
    <w:multiLevelType w:val="hybridMultilevel"/>
    <w:tmpl w:val="85EC3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243835"/>
    <w:multiLevelType w:val="hybridMultilevel"/>
    <w:tmpl w:val="606EAF1A"/>
    <w:lvl w:ilvl="0" w:tplc="61D20FD2">
      <w:numFmt w:val="bullet"/>
      <w:lvlText w:val="-"/>
      <w:lvlJc w:val="left"/>
      <w:pPr>
        <w:ind w:left="786" w:hanging="360"/>
      </w:pPr>
      <w:rPr>
        <w:rFonts w:ascii="Calibri" w:eastAsia="Times New Roman"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6A7E2894"/>
    <w:multiLevelType w:val="hybridMultilevel"/>
    <w:tmpl w:val="FAC4D61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70E2686B"/>
    <w:multiLevelType w:val="hybridMultilevel"/>
    <w:tmpl w:val="0DD874EC"/>
    <w:lvl w:ilvl="0" w:tplc="6D885A56">
      <w:start w:val="1"/>
      <w:numFmt w:val="lowerRoman"/>
      <w:lvlText w:val="%1."/>
      <w:lvlJc w:val="left"/>
      <w:pPr>
        <w:ind w:left="1473" w:hanging="720"/>
      </w:pPr>
    </w:lvl>
    <w:lvl w:ilvl="1" w:tplc="0C0A0019">
      <w:start w:val="1"/>
      <w:numFmt w:val="lowerLetter"/>
      <w:lvlText w:val="%2."/>
      <w:lvlJc w:val="left"/>
      <w:pPr>
        <w:ind w:left="1833" w:hanging="360"/>
      </w:pPr>
    </w:lvl>
    <w:lvl w:ilvl="2" w:tplc="0C0A001B">
      <w:start w:val="1"/>
      <w:numFmt w:val="lowerRoman"/>
      <w:lvlText w:val="%3."/>
      <w:lvlJc w:val="right"/>
      <w:pPr>
        <w:ind w:left="2553" w:hanging="180"/>
      </w:pPr>
    </w:lvl>
    <w:lvl w:ilvl="3" w:tplc="0C0A000F">
      <w:start w:val="1"/>
      <w:numFmt w:val="decimal"/>
      <w:lvlText w:val="%4."/>
      <w:lvlJc w:val="left"/>
      <w:pPr>
        <w:ind w:left="3273" w:hanging="360"/>
      </w:pPr>
    </w:lvl>
    <w:lvl w:ilvl="4" w:tplc="0C0A0019">
      <w:start w:val="1"/>
      <w:numFmt w:val="lowerLetter"/>
      <w:lvlText w:val="%5."/>
      <w:lvlJc w:val="left"/>
      <w:pPr>
        <w:ind w:left="3993" w:hanging="360"/>
      </w:pPr>
    </w:lvl>
    <w:lvl w:ilvl="5" w:tplc="0C0A001B">
      <w:start w:val="1"/>
      <w:numFmt w:val="lowerRoman"/>
      <w:lvlText w:val="%6."/>
      <w:lvlJc w:val="right"/>
      <w:pPr>
        <w:ind w:left="4713" w:hanging="180"/>
      </w:pPr>
    </w:lvl>
    <w:lvl w:ilvl="6" w:tplc="0C0A000F">
      <w:start w:val="1"/>
      <w:numFmt w:val="decimal"/>
      <w:lvlText w:val="%7."/>
      <w:lvlJc w:val="left"/>
      <w:pPr>
        <w:ind w:left="5433" w:hanging="360"/>
      </w:pPr>
    </w:lvl>
    <w:lvl w:ilvl="7" w:tplc="0C0A0019">
      <w:start w:val="1"/>
      <w:numFmt w:val="lowerLetter"/>
      <w:lvlText w:val="%8."/>
      <w:lvlJc w:val="left"/>
      <w:pPr>
        <w:ind w:left="6153" w:hanging="360"/>
      </w:pPr>
    </w:lvl>
    <w:lvl w:ilvl="8" w:tplc="0C0A001B">
      <w:start w:val="1"/>
      <w:numFmt w:val="lowerRoman"/>
      <w:lvlText w:val="%9."/>
      <w:lvlJc w:val="right"/>
      <w:pPr>
        <w:ind w:left="6873" w:hanging="180"/>
      </w:pPr>
    </w:lvl>
  </w:abstractNum>
  <w:abstractNum w:abstractNumId="4" w15:restartNumberingAfterBreak="0">
    <w:nsid w:val="78F235AD"/>
    <w:multiLevelType w:val="hybridMultilevel"/>
    <w:tmpl w:val="37F2D12A"/>
    <w:lvl w:ilvl="0" w:tplc="ABFEDA9C">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22"/>
    <w:rsid w:val="00073829"/>
    <w:rsid w:val="000A1602"/>
    <w:rsid w:val="00101E22"/>
    <w:rsid w:val="001E56B7"/>
    <w:rsid w:val="001F03E6"/>
    <w:rsid w:val="002973BD"/>
    <w:rsid w:val="002B330D"/>
    <w:rsid w:val="002E2A80"/>
    <w:rsid w:val="00382212"/>
    <w:rsid w:val="00392ACE"/>
    <w:rsid w:val="003E6A2F"/>
    <w:rsid w:val="004426C2"/>
    <w:rsid w:val="004714AD"/>
    <w:rsid w:val="00632901"/>
    <w:rsid w:val="006448DC"/>
    <w:rsid w:val="006D3AA6"/>
    <w:rsid w:val="007234B1"/>
    <w:rsid w:val="00755844"/>
    <w:rsid w:val="00952350"/>
    <w:rsid w:val="00A47985"/>
    <w:rsid w:val="00E76D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37417-19A5-4ABE-A91C-29B0D880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E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1E22"/>
    <w:rPr>
      <w:color w:val="0563C1" w:themeColor="hyperlink"/>
      <w:u w:val="single"/>
    </w:rPr>
  </w:style>
  <w:style w:type="paragraph" w:styleId="Prrafodelista">
    <w:name w:val="List Paragraph"/>
    <w:aliases w:val="List,Resume Title,Dot pt,No Spacing1,List Paragraph Char Char Char,Indicator Text,Numbered Para 1,List Paragraph1,Bullet Points,MAIN CONTENT,List Paragraph12,List Paragraph11,OBC Bullet,F5 List Paragraph,Colorful List - Accent 11,Bullet"/>
    <w:basedOn w:val="Normal"/>
    <w:link w:val="PrrafodelistaCar"/>
    <w:uiPriority w:val="34"/>
    <w:qFormat/>
    <w:rsid w:val="00101E22"/>
    <w:pPr>
      <w:ind w:left="720"/>
      <w:contextualSpacing/>
    </w:pPr>
  </w:style>
  <w:style w:type="paragraph" w:customStyle="1" w:styleId="Default">
    <w:name w:val="Default"/>
    <w:rsid w:val="00101E22"/>
    <w:pPr>
      <w:autoSpaceDE w:val="0"/>
      <w:autoSpaceDN w:val="0"/>
      <w:adjustRightInd w:val="0"/>
      <w:spacing w:after="0" w:line="240" w:lineRule="auto"/>
    </w:pPr>
    <w:rPr>
      <w:rFonts w:ascii="EUAlbertina" w:eastAsia="Calibri" w:hAnsi="EUAlbertina" w:cs="EUAlbertina"/>
      <w:color w:val="000000"/>
      <w:sz w:val="24"/>
      <w:szCs w:val="24"/>
    </w:rPr>
  </w:style>
  <w:style w:type="paragraph" w:styleId="Encabezado">
    <w:name w:val="header"/>
    <w:basedOn w:val="Normal"/>
    <w:link w:val="EncabezadoCar"/>
    <w:uiPriority w:val="99"/>
    <w:unhideWhenUsed/>
    <w:rsid w:val="00101E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1E22"/>
  </w:style>
  <w:style w:type="paragraph" w:styleId="Piedepgina">
    <w:name w:val="footer"/>
    <w:basedOn w:val="Normal"/>
    <w:link w:val="PiedepginaCar"/>
    <w:uiPriority w:val="99"/>
    <w:unhideWhenUsed/>
    <w:rsid w:val="00101E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1E22"/>
  </w:style>
  <w:style w:type="table" w:styleId="Tablaconcuadrcula">
    <w:name w:val="Table Grid"/>
    <w:basedOn w:val="Tablanormal"/>
    <w:uiPriority w:val="39"/>
    <w:rsid w:val="00E76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Resume Title Car,Dot pt Car,No Spacing1 Car,List Paragraph Char Char Char Car,Indicator Text Car,Numbered Para 1 Car,List Paragraph1 Car,Bullet Points Car,MAIN CONTENT Car,List Paragraph12 Car,List Paragraph11 Car"/>
    <w:basedOn w:val="Fuentedeprrafopredeter"/>
    <w:link w:val="Prrafodelista"/>
    <w:uiPriority w:val="34"/>
    <w:qFormat/>
    <w:locked/>
    <w:rsid w:val="00A47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carm.es/wres/NextGeneration/doc/Planes-Antifraude/Consejeria_MedioAmbiente/PLAN_ANTIFRAUDE_DGPatrimonioNaturalyAccionClimatica.pdf?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10</Pages>
  <Words>3693</Words>
  <Characters>20313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GASTEAZI, LOURDES</dc:creator>
  <cp:keywords/>
  <dc:description/>
  <cp:lastModifiedBy>SERRANO GARCIA, ELENA</cp:lastModifiedBy>
  <cp:revision>12</cp:revision>
  <dcterms:created xsi:type="dcterms:W3CDTF">2025-07-09T08:42:00Z</dcterms:created>
  <dcterms:modified xsi:type="dcterms:W3CDTF">2025-11-19T13:37:00Z</dcterms:modified>
</cp:coreProperties>
</file>